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49" w:rsidRDefault="00121749" w:rsidP="00121749">
      <w:pPr>
        <w:pStyle w:val="Title"/>
        <w:rPr>
          <w:sz w:val="44"/>
        </w:rPr>
      </w:pPr>
      <w:r w:rsidRPr="00121749">
        <w:rPr>
          <w:sz w:val="44"/>
        </w:rPr>
        <w:t xml:space="preserve">Pre-1996 protection and the </w:t>
      </w:r>
      <w:r w:rsidR="002625DD">
        <w:rPr>
          <w:sz w:val="44"/>
        </w:rPr>
        <w:t>HB maximum rent (social sector)</w:t>
      </w:r>
    </w:p>
    <w:p w:rsidR="00121749" w:rsidRDefault="00121749">
      <w:pPr>
        <w:spacing w:after="200" w:line="276" w:lineRule="auto"/>
      </w:pPr>
      <w:r>
        <w:t>This note explains how, in my opinion, any HB claimant who has remained on HB at the same property since 1 January 1996 is exempt from having a limited rent determined under the Maximum Rent (Social Sector) provisions (or bedroom tax/removal of spare room subsidy if you prefer).</w:t>
      </w:r>
    </w:p>
    <w:p w:rsidR="00121749" w:rsidRDefault="00121749">
      <w:pPr>
        <w:spacing w:after="200" w:line="276" w:lineRule="auto"/>
      </w:pPr>
      <w:r>
        <w:t xml:space="preserve">Since January 1996 eligible rent for private tenants has been determined in one way or another by the Rent Officer with the Council having very little say over the matter. But private tenants who were already on HB in January 1996 were protected from Rent </w:t>
      </w:r>
      <w:r w:rsidR="008B1DAA">
        <w:t>O</w:t>
      </w:r>
      <w:r>
        <w:t>fficer determinations for as long as they remained on HB in the same dwelling (there were also some limited linking provisions for people who move, separate from a partner etc).</w:t>
      </w:r>
    </w:p>
    <w:p w:rsidR="00121749" w:rsidRDefault="00121749">
      <w:pPr>
        <w:spacing w:after="200" w:line="276" w:lineRule="auto"/>
      </w:pPr>
      <w:r>
        <w:t xml:space="preserve">Clearly no-one was thinking about social sector tenants at that time – whenever the rules for private tenants have undergone major reform (principally in 1996 and 2008) social sector tenants have not been affected.  So no-one ever noticed that, technically, the eligible rent of a social sector tenant who has been on HB in the same dwelling since 1996 is calculated under the preserved pre-1996 Regulations.  Until April 2013 it made no difference because the old Regs and the current Regs treated social sector tenants in exactly the same way </w:t>
      </w:r>
      <w:r w:rsidRPr="008B1DAA">
        <w:rPr>
          <w:rFonts w:ascii="Arial Narrow" w:hAnsi="Arial Narrow"/>
        </w:rPr>
        <w:t>(except in those unusual cases where a Housing Association rent is referred to the Rent Officer, but they are as rare as hens’ teeth)</w:t>
      </w:r>
      <w:r>
        <w:t>.</w:t>
      </w:r>
    </w:p>
    <w:p w:rsidR="00121749" w:rsidRDefault="00121749">
      <w:pPr>
        <w:spacing w:after="200" w:line="276" w:lineRule="auto"/>
      </w:pPr>
      <w:r>
        <w:t xml:space="preserve">The arrival of the Maximum Rent (Social Sector) in April 2013 has forced social sector tenants and those advising them to scrutinise the Regulations for innovative solutions.  The most widely promulgated of these solutions has been “underlying” exempt accommodation – where a registered HA provides one of its tenants with more than minimal support the case is technically exempt accommodation and is </w:t>
      </w:r>
      <w:proofErr w:type="gramStart"/>
      <w:r>
        <w:t>therefore</w:t>
      </w:r>
      <w:proofErr w:type="gramEnd"/>
      <w:r>
        <w:t xml:space="preserve"> exempt from the MR(SS) and largely exempt from the benefit cap as well.  And now there is the pre-1996 loophole.  This loophole relies on the fact that the transitional protection aimed at private tenants in 1996 operates by freezing the pre-1996 eligible rent rules for </w:t>
      </w:r>
      <w:r>
        <w:rPr>
          <w:b/>
          <w:u w:val="single"/>
        </w:rPr>
        <w:t>anyone</w:t>
      </w:r>
      <w:r w:rsidRPr="00121749">
        <w:t xml:space="preserve"> who</w:t>
      </w:r>
      <w:r>
        <w:t xml:space="preserve"> satisfies the continuous HB/continuous occupation requirements: the preserved Regs do not only apply to private tenants.</w:t>
      </w:r>
    </w:p>
    <w:p w:rsidR="002B4D74" w:rsidRPr="00121749" w:rsidRDefault="002B4D74">
      <w:pPr>
        <w:spacing w:after="200" w:line="276" w:lineRule="auto"/>
      </w:pPr>
      <w:r>
        <w:t xml:space="preserve">The following flow chart and end notes explain how the protection </w:t>
      </w:r>
      <w:proofErr w:type="gramStart"/>
      <w:r>
        <w:t>operates ...</w:t>
      </w:r>
      <w:proofErr w:type="gramEnd"/>
    </w:p>
    <w:p w:rsidR="00121749" w:rsidRDefault="00121749">
      <w:pPr>
        <w:spacing w:after="200" w:line="276" w:lineRule="auto"/>
      </w:pPr>
    </w:p>
    <w:p w:rsidR="006C1406" w:rsidRDefault="00F40202">
      <w:pPr>
        <w:spacing w:after="200" w:line="276" w:lineRule="auto"/>
        <w:rPr>
          <w:b/>
        </w:rPr>
      </w:pPr>
      <w:r w:rsidRPr="00F40202">
        <w:rPr>
          <w:b/>
        </w:rPr>
        <w:t>Peter Barker T/A HB Anorak</w:t>
      </w:r>
    </w:p>
    <w:p w:rsidR="00121749" w:rsidRPr="00F40202" w:rsidRDefault="006C1406">
      <w:pPr>
        <w:spacing w:after="200" w:line="276" w:lineRule="auto"/>
        <w:rPr>
          <w:b/>
        </w:rPr>
      </w:pPr>
      <w:r>
        <w:rPr>
          <w:b/>
        </w:rPr>
        <w:t>www.hbanorak.co.uk</w:t>
      </w:r>
      <w:r w:rsidR="00121749" w:rsidRPr="00F40202">
        <w:rPr>
          <w:b/>
        </w:rPr>
        <w:br w:type="page"/>
      </w:r>
    </w:p>
    <w:p w:rsidR="009109B0" w:rsidRDefault="009415D0">
      <w:r>
        <w:rPr>
          <w:noProof/>
          <w:lang w:eastAsia="en-GB"/>
        </w:rPr>
        <w:pict>
          <v:shapetype id="_x0000_t202" coordsize="21600,21600" o:spt="202" path="m,l,21600r21600,l21600,xe">
            <v:stroke joinstyle="miter"/>
            <v:path gradientshapeok="t" o:connecttype="rect"/>
          </v:shapetype>
          <v:shape id="_x0000_s1034" type="#_x0000_t202" style="position:absolute;margin-left:0;margin-top:552pt;width:463.5pt;height:75pt;z-index:9">
            <v:textbox style="mso-next-textbox:#_x0000_s1034">
              <w:txbxContent>
                <w:p w:rsidR="00881EEC" w:rsidRDefault="00881EEC" w:rsidP="009109B0">
                  <w:pPr>
                    <w:rPr>
                      <w:rFonts w:ascii="Times New Roman" w:hAnsi="Times New Roman"/>
                      <w:b/>
                    </w:rPr>
                  </w:pPr>
                  <w:r>
                    <w:rPr>
                      <w:rFonts w:ascii="Times New Roman" w:hAnsi="Times New Roman"/>
                      <w:b/>
                    </w:rPr>
                    <w:t>Schedule 3 to the HB&amp;CTB Consequential Provisions Regs 2006</w:t>
                  </w:r>
                </w:p>
                <w:p w:rsidR="00881EEC" w:rsidRDefault="00881EEC" w:rsidP="009109B0">
                  <w:pPr>
                    <w:rPr>
                      <w:rFonts w:ascii="Times New Roman" w:hAnsi="Times New Roman"/>
                      <w:b/>
                    </w:rPr>
                  </w:pPr>
                </w:p>
                <w:p w:rsidR="00881EEC" w:rsidRPr="00B42D96" w:rsidRDefault="00881EEC" w:rsidP="009109B0">
                  <w:pPr>
                    <w:rPr>
                      <w:rFonts w:ascii="Times New Roman" w:hAnsi="Times New Roman"/>
                    </w:rPr>
                  </w:pPr>
                  <w:r>
                    <w:rPr>
                      <w:rFonts w:ascii="Times New Roman" w:hAnsi="Times New Roman"/>
                    </w:rPr>
                    <w:t>See relevant extracts on following page</w:t>
                  </w:r>
                </w:p>
              </w:txbxContent>
            </v:textbox>
          </v:shape>
        </w:pict>
      </w:r>
      <w:r>
        <w:rPr>
          <w:noProof/>
          <w:lang w:eastAsia="en-GB"/>
        </w:rPr>
        <w:pict>
          <v:shapetype id="_x0000_t32" coordsize="21600,21600" o:spt="32" o:oned="t" path="m,l21600,21600e" filled="f">
            <v:path arrowok="t" fillok="f" o:connecttype="none"/>
            <o:lock v:ext="edit" shapetype="t"/>
          </v:shapetype>
          <v:shape id="_x0000_s1033" type="#_x0000_t32" style="position:absolute;margin-left:229.5pt;margin-top:331.5pt;width:0;height:24.75pt;z-index:8" o:connectortype="straight">
            <v:stroke endarrow="block"/>
          </v:shape>
        </w:pict>
      </w:r>
      <w:r>
        <w:rPr>
          <w:noProof/>
          <w:lang w:eastAsia="en-GB"/>
        </w:rPr>
        <w:pict>
          <v:shape id="_x0000_s1031" type="#_x0000_t32" style="position:absolute;margin-left:229.5pt;margin-top:527.25pt;width:0;height:24.75pt;z-index:6" o:connectortype="straight">
            <v:stroke endarrow="block"/>
          </v:shape>
        </w:pict>
      </w:r>
      <w:r>
        <w:rPr>
          <w:noProof/>
          <w:lang w:eastAsia="en-GB"/>
        </w:rPr>
        <w:pict>
          <v:shape id="_x0000_s1032" type="#_x0000_t202" style="position:absolute;margin-left:0;margin-top:356.25pt;width:463.5pt;height:171pt;z-index:7">
            <v:textbox style="mso-next-textbox:#_x0000_s1032">
              <w:txbxContent>
                <w:p w:rsidR="00881EEC" w:rsidRDefault="00881EEC" w:rsidP="009109B0">
                  <w:pPr>
                    <w:rPr>
                      <w:rFonts w:ascii="Times New Roman" w:hAnsi="Times New Roman"/>
                      <w:b/>
                    </w:rPr>
                  </w:pPr>
                  <w:r>
                    <w:rPr>
                      <w:rFonts w:ascii="Times New Roman" w:hAnsi="Times New Roman"/>
                      <w:b/>
                    </w:rPr>
                    <w:t>Reg 2: Interpretation</w:t>
                  </w:r>
                </w:p>
                <w:p w:rsidR="00881EEC" w:rsidRDefault="00881EEC" w:rsidP="009109B0">
                  <w:pPr>
                    <w:rPr>
                      <w:rFonts w:ascii="Times New Roman" w:hAnsi="Times New Roman"/>
                      <w:b/>
                    </w:rPr>
                  </w:pPr>
                </w:p>
                <w:p w:rsidR="00881EEC" w:rsidRPr="009109B0" w:rsidRDefault="00881EEC" w:rsidP="009109B0">
                  <w:pPr>
                    <w:rPr>
                      <w:rFonts w:ascii="Times New Roman" w:hAnsi="Times New Roman"/>
                    </w:rPr>
                  </w:pPr>
                  <w:r>
                    <w:rPr>
                      <w:rFonts w:ascii="Times New Roman" w:hAnsi="Times New Roman"/>
                    </w:rPr>
                    <w:t>“</w:t>
                  </w:r>
                  <w:proofErr w:type="gramStart"/>
                  <w:r w:rsidRPr="002C5124">
                    <w:rPr>
                      <w:rFonts w:ascii="Times New Roman" w:hAnsi="Times New Roman"/>
                      <w:b/>
                    </w:rPr>
                    <w:t>eligible</w:t>
                  </w:r>
                  <w:proofErr w:type="gramEnd"/>
                  <w:r w:rsidRPr="002C5124">
                    <w:rPr>
                      <w:rFonts w:ascii="Times New Roman" w:hAnsi="Times New Roman"/>
                      <w:b/>
                    </w:rPr>
                    <w:t xml:space="preserve"> rent</w:t>
                  </w:r>
                  <w:r w:rsidRPr="009109B0">
                    <w:rPr>
                      <w:rFonts w:ascii="Times New Roman" w:hAnsi="Times New Roman"/>
                    </w:rPr>
                    <w:t xml:space="preserve">” means, </w:t>
                  </w:r>
                  <w:r w:rsidRPr="00881EEC">
                    <w:rPr>
                      <w:rFonts w:ascii="Times New Roman" w:hAnsi="Times New Roman"/>
                      <w:b/>
                    </w:rPr>
                    <w:t xml:space="preserve">as the case may </w:t>
                  </w:r>
                  <w:proofErr w:type="spellStart"/>
                  <w:r w:rsidRPr="00881EEC">
                    <w:rPr>
                      <w:rFonts w:ascii="Times New Roman" w:hAnsi="Times New Roman"/>
                      <w:b/>
                    </w:rPr>
                    <w:t>require</w:t>
                  </w:r>
                  <w:r w:rsidR="009415D0" w:rsidRPr="00881EEC">
                    <w:rPr>
                      <w:rFonts w:ascii="Times New Roman" w:hAnsi="Times New Roman"/>
                      <w:vertAlign w:val="superscript"/>
                    </w:rPr>
                    <w:fldChar w:fldCharType="begin"/>
                  </w:r>
                  <w:r w:rsidRPr="00881EEC">
                    <w:rPr>
                      <w:rFonts w:ascii="Times New Roman" w:hAnsi="Times New Roman"/>
                      <w:vertAlign w:val="superscript"/>
                    </w:rPr>
                    <w:instrText xml:space="preserve"> NOTEREF _Ref376877847 \h  \* MERGEFORMAT </w:instrText>
                  </w:r>
                  <w:r w:rsidR="009415D0" w:rsidRPr="00881EEC">
                    <w:rPr>
                      <w:rFonts w:ascii="Times New Roman" w:hAnsi="Times New Roman"/>
                      <w:vertAlign w:val="superscript"/>
                    </w:rPr>
                  </w:r>
                  <w:r w:rsidR="009415D0" w:rsidRPr="00881EEC">
                    <w:rPr>
                      <w:rFonts w:ascii="Times New Roman" w:hAnsi="Times New Roman"/>
                      <w:vertAlign w:val="superscript"/>
                    </w:rPr>
                    <w:fldChar w:fldCharType="separate"/>
                  </w:r>
                  <w:r w:rsidRPr="00881EEC">
                    <w:rPr>
                      <w:rFonts w:ascii="Times New Roman" w:hAnsi="Times New Roman"/>
                      <w:vertAlign w:val="superscript"/>
                    </w:rPr>
                    <w:t>i</w:t>
                  </w:r>
                  <w:proofErr w:type="spellEnd"/>
                  <w:r w:rsidR="009415D0" w:rsidRPr="00881EEC">
                    <w:rPr>
                      <w:rFonts w:ascii="Times New Roman" w:hAnsi="Times New Roman"/>
                      <w:vertAlign w:val="superscript"/>
                    </w:rPr>
                    <w:fldChar w:fldCharType="end"/>
                  </w:r>
                  <w:r w:rsidRPr="009109B0">
                    <w:rPr>
                      <w:rFonts w:ascii="Times New Roman" w:hAnsi="Times New Roman"/>
                    </w:rPr>
                    <w:t>, an eligible rent determined in</w:t>
                  </w:r>
                  <w:r>
                    <w:rPr>
                      <w:rFonts w:ascii="Times New Roman" w:hAnsi="Times New Roman"/>
                    </w:rPr>
                    <w:t xml:space="preserve"> </w:t>
                  </w:r>
                  <w:r w:rsidRPr="009109B0">
                    <w:rPr>
                      <w:rFonts w:ascii="Times New Roman" w:hAnsi="Times New Roman"/>
                    </w:rPr>
                    <w:t>accordance with–</w:t>
                  </w:r>
                </w:p>
                <w:p w:rsidR="00881EEC" w:rsidRDefault="00881EEC" w:rsidP="009109B0">
                  <w:pPr>
                    <w:rPr>
                      <w:rFonts w:ascii="Times New Roman" w:hAnsi="Times New Roman"/>
                    </w:rPr>
                  </w:pPr>
                </w:p>
                <w:p w:rsidR="00881EEC" w:rsidRPr="009109B0" w:rsidRDefault="00881EEC" w:rsidP="009109B0">
                  <w:pPr>
                    <w:rPr>
                      <w:rFonts w:ascii="Times New Roman" w:hAnsi="Times New Roman"/>
                    </w:rPr>
                  </w:pPr>
                  <w:r w:rsidRPr="009109B0">
                    <w:rPr>
                      <w:rFonts w:ascii="Times New Roman" w:hAnsi="Times New Roman"/>
                    </w:rPr>
                    <w:t xml:space="preserve">(a) </w:t>
                  </w:r>
                  <w:proofErr w:type="gramStart"/>
                  <w:r w:rsidRPr="009109B0">
                    <w:rPr>
                      <w:rFonts w:ascii="Times New Roman" w:hAnsi="Times New Roman"/>
                    </w:rPr>
                    <w:t>regulations</w:t>
                  </w:r>
                  <w:proofErr w:type="gramEnd"/>
                  <w:r w:rsidRPr="009109B0">
                    <w:rPr>
                      <w:rFonts w:ascii="Times New Roman" w:hAnsi="Times New Roman"/>
                    </w:rPr>
                    <w:t xml:space="preserve"> 12B (eligible rent), </w:t>
                  </w:r>
                  <w:r>
                    <w:rPr>
                      <w:rFonts w:ascii="Times New Roman" w:hAnsi="Times New Roman"/>
                    </w:rPr>
                    <w:t>1</w:t>
                  </w:r>
                  <w:r w:rsidRPr="009109B0">
                    <w:rPr>
                      <w:rFonts w:ascii="Times New Roman" w:hAnsi="Times New Roman"/>
                    </w:rPr>
                    <w:t>2BA (eligible rent and maximum rent</w:t>
                  </w:r>
                  <w:r>
                    <w:rPr>
                      <w:rFonts w:ascii="Times New Roman" w:hAnsi="Times New Roman"/>
                    </w:rPr>
                    <w:t xml:space="preserve"> </w:t>
                  </w:r>
                  <w:r w:rsidRPr="009109B0">
                    <w:rPr>
                      <w:rFonts w:ascii="Times New Roman" w:hAnsi="Times New Roman"/>
                    </w:rPr>
                    <w:t>(social sector)</w:t>
                  </w:r>
                  <w:r>
                    <w:rPr>
                      <w:rFonts w:ascii="Times New Roman" w:hAnsi="Times New Roman"/>
                    </w:rPr>
                    <w:t>)</w:t>
                  </w:r>
                  <w:r w:rsidRPr="009109B0">
                    <w:rPr>
                      <w:rFonts w:ascii="Times New Roman" w:hAnsi="Times New Roman"/>
                    </w:rPr>
                    <w:t>,</w:t>
                  </w:r>
                  <w:r>
                    <w:rPr>
                      <w:rFonts w:ascii="Times New Roman" w:hAnsi="Times New Roman"/>
                    </w:rPr>
                    <w:t xml:space="preserve"> </w:t>
                  </w:r>
                  <w:r w:rsidRPr="009109B0">
                    <w:rPr>
                      <w:rFonts w:ascii="Times New Roman" w:hAnsi="Times New Roman"/>
                    </w:rPr>
                    <w:t>12C (eligible rent and maximum rent) or 12D (eligible</w:t>
                  </w:r>
                  <w:r>
                    <w:rPr>
                      <w:rFonts w:ascii="Times New Roman" w:hAnsi="Times New Roman"/>
                    </w:rPr>
                    <w:t xml:space="preserve"> </w:t>
                  </w:r>
                  <w:r w:rsidRPr="009109B0">
                    <w:rPr>
                      <w:rFonts w:ascii="Times New Roman" w:hAnsi="Times New Roman"/>
                    </w:rPr>
                    <w:t>rent and maximum rent (LHA)); or</w:t>
                  </w:r>
                </w:p>
                <w:p w:rsidR="00881EEC" w:rsidRDefault="00881EEC" w:rsidP="009109B0">
                  <w:pPr>
                    <w:rPr>
                      <w:rFonts w:ascii="Times New Roman" w:hAnsi="Times New Roman"/>
                    </w:rPr>
                  </w:pPr>
                </w:p>
                <w:p w:rsidR="00881EEC" w:rsidRPr="00B42D96" w:rsidRDefault="00881EEC" w:rsidP="009109B0">
                  <w:pPr>
                    <w:rPr>
                      <w:rFonts w:ascii="Times New Roman" w:hAnsi="Times New Roman"/>
                    </w:rPr>
                  </w:pPr>
                  <w:r w:rsidRPr="009109B0">
                    <w:rPr>
                      <w:rFonts w:ascii="Times New Roman" w:hAnsi="Times New Roman"/>
                    </w:rPr>
                    <w:t>(b) regulations 12 (rent) and 13 (restrictions on unreasonable payments) as</w:t>
                  </w:r>
                  <w:r>
                    <w:rPr>
                      <w:rFonts w:ascii="Times New Roman" w:hAnsi="Times New Roman"/>
                    </w:rPr>
                    <w:t xml:space="preserve"> </w:t>
                  </w:r>
                  <w:r w:rsidRPr="009109B0">
                    <w:rPr>
                      <w:rFonts w:ascii="Times New Roman" w:hAnsi="Times New Roman"/>
                    </w:rPr>
                    <w:t>set out in paragraph 5 of Schedule 3 to the Consequential Provisions</w:t>
                  </w:r>
                  <w:r>
                    <w:rPr>
                      <w:rFonts w:ascii="Times New Roman" w:hAnsi="Times New Roman"/>
                    </w:rPr>
                    <w:t xml:space="preserve"> </w:t>
                  </w:r>
                  <w:r w:rsidRPr="009109B0">
                    <w:rPr>
                      <w:rFonts w:ascii="Times New Roman" w:hAnsi="Times New Roman"/>
                    </w:rPr>
                    <w:t xml:space="preserve">Regulations </w:t>
                  </w:r>
                  <w:r w:rsidRPr="009109B0">
                    <w:rPr>
                      <w:rFonts w:ascii="Times New Roman" w:hAnsi="Times New Roman"/>
                      <w:b/>
                    </w:rPr>
                    <w:t>in a case to which paragraph 4 of that Schedule applies</w:t>
                  </w:r>
                </w:p>
              </w:txbxContent>
            </v:textbox>
          </v:shape>
        </w:pict>
      </w:r>
      <w:r>
        <w:rPr>
          <w:noProof/>
          <w:lang w:eastAsia="en-GB"/>
        </w:rPr>
        <w:pict>
          <v:shape id="_x0000_s1028" type="#_x0000_t202" style="position:absolute;margin-left:0;margin-top:256.5pt;width:463.5pt;height:75pt;z-index:3">
            <v:textbox style="mso-next-textbox:#_x0000_s1028">
              <w:txbxContent>
                <w:p w:rsidR="00881EEC" w:rsidRDefault="00881EEC">
                  <w:pPr>
                    <w:rPr>
                      <w:rFonts w:ascii="Times New Roman" w:hAnsi="Times New Roman"/>
                      <w:b/>
                    </w:rPr>
                  </w:pPr>
                  <w:r>
                    <w:rPr>
                      <w:rFonts w:ascii="Times New Roman" w:hAnsi="Times New Roman"/>
                      <w:b/>
                    </w:rPr>
                    <w:t xml:space="preserve">Reg 70: </w:t>
                  </w:r>
                  <w:r w:rsidRPr="00B42D96">
                    <w:rPr>
                      <w:rFonts w:ascii="Times New Roman" w:hAnsi="Times New Roman"/>
                      <w:b/>
                    </w:rPr>
                    <w:t>Maximum housing benefit</w:t>
                  </w:r>
                </w:p>
                <w:p w:rsidR="00881EEC" w:rsidRDefault="00881EEC">
                  <w:pPr>
                    <w:rPr>
                      <w:rFonts w:ascii="Times New Roman" w:hAnsi="Times New Roman"/>
                      <w:b/>
                    </w:rPr>
                  </w:pPr>
                </w:p>
                <w:p w:rsidR="00881EEC" w:rsidRPr="00B42D96" w:rsidRDefault="00881EEC" w:rsidP="00B42D96">
                  <w:pPr>
                    <w:rPr>
                      <w:rFonts w:ascii="Times New Roman" w:hAnsi="Times New Roman"/>
                    </w:rPr>
                  </w:pPr>
                  <w:r w:rsidRPr="00B42D96">
                    <w:rPr>
                      <w:rFonts w:ascii="Times New Roman" w:hAnsi="Times New Roman"/>
                    </w:rPr>
                    <w:t xml:space="preserve">The amount of a person’s </w:t>
                  </w:r>
                  <w:r w:rsidRPr="009109B0">
                    <w:rPr>
                      <w:rFonts w:ascii="Times New Roman" w:hAnsi="Times New Roman"/>
                      <w:b/>
                    </w:rPr>
                    <w:t>appropriate maximum housing benefit</w:t>
                  </w:r>
                  <w:r w:rsidRPr="00B42D96">
                    <w:rPr>
                      <w:rFonts w:ascii="Times New Roman" w:hAnsi="Times New Roman"/>
                    </w:rPr>
                    <w:t xml:space="preserve"> in any week</w:t>
                  </w:r>
                  <w:r>
                    <w:rPr>
                      <w:rFonts w:ascii="Times New Roman" w:hAnsi="Times New Roman"/>
                    </w:rPr>
                    <w:t xml:space="preserve"> shall be 100 per cent</w:t>
                  </w:r>
                  <w:r w:rsidRPr="00B42D96">
                    <w:rPr>
                      <w:rFonts w:ascii="Times New Roman" w:hAnsi="Times New Roman"/>
                    </w:rPr>
                    <w:t xml:space="preserve"> of his </w:t>
                  </w:r>
                  <w:r w:rsidRPr="009109B0">
                    <w:rPr>
                      <w:rFonts w:ascii="Times New Roman" w:hAnsi="Times New Roman"/>
                      <w:b/>
                    </w:rPr>
                    <w:t>eligible rent</w:t>
                  </w:r>
                  <w:r w:rsidRPr="00B42D96">
                    <w:rPr>
                      <w:rFonts w:ascii="Times New Roman" w:hAnsi="Times New Roman"/>
                    </w:rPr>
                    <w:t xml:space="preserve"> calculated on a weekly </w:t>
                  </w:r>
                  <w:proofErr w:type="gramStart"/>
                  <w:r w:rsidRPr="00B42D96">
                    <w:rPr>
                      <w:rFonts w:ascii="Times New Roman" w:hAnsi="Times New Roman"/>
                    </w:rPr>
                    <w:t>basis</w:t>
                  </w:r>
                  <w:r>
                    <w:rPr>
                      <w:rFonts w:ascii="Times New Roman" w:hAnsi="Times New Roman"/>
                    </w:rPr>
                    <w:t xml:space="preserve"> ...</w:t>
                  </w:r>
                  <w:proofErr w:type="gramEnd"/>
                </w:p>
              </w:txbxContent>
            </v:textbox>
          </v:shape>
        </w:pict>
      </w:r>
      <w:r>
        <w:rPr>
          <w:noProof/>
          <w:lang w:eastAsia="en-GB"/>
        </w:rPr>
        <w:pict>
          <v:shape id="_x0000_s1030" type="#_x0000_t202" style="position:absolute;margin-left:168.75pt;margin-top:210pt;width:121.5pt;height:21.75pt;z-index:5" filled="f" stroked="f">
            <v:textbox style="mso-next-textbox:#_x0000_s1030">
              <w:txbxContent>
                <w:p w:rsidR="00881EEC" w:rsidRDefault="00881EEC" w:rsidP="00B42D96">
                  <w:pPr>
                    <w:jc w:val="center"/>
                  </w:pPr>
                  <w:r w:rsidRPr="00B42D96">
                    <w:rPr>
                      <w:rFonts w:ascii="Times New Roman" w:hAnsi="Times New Roman"/>
                      <w:b/>
                    </w:rPr>
                    <w:t xml:space="preserve">HB Regs </w:t>
                  </w:r>
                  <w:r>
                    <w:rPr>
                      <w:rFonts w:ascii="Times New Roman" w:hAnsi="Times New Roman"/>
                      <w:b/>
                    </w:rPr>
                    <w:t>2006</w:t>
                  </w:r>
                </w:p>
              </w:txbxContent>
            </v:textbox>
          </v:shape>
        </w:pict>
      </w:r>
      <w:r>
        <w:rPr>
          <w:noProof/>
          <w:lang w:eastAsia="en-GB"/>
        </w:rPr>
        <w:pict>
          <v:shape id="_x0000_s1029" type="#_x0000_t32" style="position:absolute;margin-left:229.5pt;margin-top:231.75pt;width:0;height:24.75pt;z-index:4" o:connectortype="straight">
            <v:stroke endarrow="block"/>
          </v:shape>
        </w:pict>
      </w:r>
      <w:r>
        <w:rPr>
          <w:noProof/>
          <w:lang w:eastAsia="en-GB"/>
        </w:rPr>
        <w:pict>
          <v:shape id="_x0000_s1027" type="#_x0000_t32" style="position:absolute;margin-left:229.5pt;margin-top:185.25pt;width:0;height:24.75pt;z-index:2" o:connectortype="straight">
            <v:stroke endarrow="block"/>
          </v:shape>
        </w:pict>
      </w:r>
      <w:r>
        <w:rPr>
          <w:noProof/>
          <w:lang w:eastAsia="en-GB"/>
        </w:rPr>
        <w:pict>
          <v:shape id="_x0000_s1026" type="#_x0000_t202" style="position:absolute;margin-left:0;margin-top:2.25pt;width:463.5pt;height:183pt;z-index:1">
            <v:textbox style="mso-next-textbox:#_x0000_s1026">
              <w:txbxContent>
                <w:p w:rsidR="00881EEC" w:rsidRPr="00B42D96" w:rsidRDefault="00881EEC">
                  <w:pPr>
                    <w:rPr>
                      <w:rFonts w:ascii="Times New Roman" w:hAnsi="Times New Roman"/>
                      <w:b/>
                    </w:rPr>
                  </w:pPr>
                  <w:r w:rsidRPr="00B42D96">
                    <w:rPr>
                      <w:rFonts w:ascii="Times New Roman" w:hAnsi="Times New Roman"/>
                      <w:b/>
                    </w:rPr>
                    <w:t>So</w:t>
                  </w:r>
                  <w:r>
                    <w:rPr>
                      <w:rFonts w:ascii="Times New Roman" w:hAnsi="Times New Roman"/>
                      <w:b/>
                    </w:rPr>
                    <w:t>c</w:t>
                  </w:r>
                  <w:r w:rsidRPr="00B42D96">
                    <w:rPr>
                      <w:rFonts w:ascii="Times New Roman" w:hAnsi="Times New Roman"/>
                      <w:b/>
                    </w:rPr>
                    <w:t>ial Security Contributions and Benefits Act 1992:</w:t>
                  </w:r>
                </w:p>
                <w:p w:rsidR="00881EEC" w:rsidRPr="00B42D96" w:rsidRDefault="00881EEC">
                  <w:pPr>
                    <w:rPr>
                      <w:rFonts w:ascii="Times New Roman" w:hAnsi="Times New Roman"/>
                      <w:b/>
                    </w:rPr>
                  </w:pPr>
                </w:p>
                <w:p w:rsidR="00881EEC" w:rsidRPr="00B42D96" w:rsidRDefault="00881EEC">
                  <w:pPr>
                    <w:rPr>
                      <w:rFonts w:ascii="Times New Roman" w:hAnsi="Times New Roman"/>
                    </w:rPr>
                  </w:pPr>
                  <w:r w:rsidRPr="00B42D96">
                    <w:rPr>
                      <w:rFonts w:ascii="Times New Roman" w:hAnsi="Times New Roman"/>
                    </w:rPr>
                    <w:t>130.—(1) A person is entitled to housing benefit if–</w:t>
                  </w:r>
                </w:p>
                <w:p w:rsidR="00881EEC" w:rsidRPr="00B42D96" w:rsidRDefault="00881EEC" w:rsidP="00B42D96">
                  <w:pPr>
                    <w:rPr>
                      <w:rFonts w:ascii="Times New Roman" w:hAnsi="Times New Roman"/>
                    </w:rPr>
                  </w:pPr>
                  <w:r w:rsidRPr="00B42D96">
                    <w:rPr>
                      <w:rFonts w:ascii="Times New Roman" w:hAnsi="Times New Roman"/>
                    </w:rPr>
                    <w:t>...</w:t>
                  </w:r>
                </w:p>
                <w:p w:rsidR="00881EEC" w:rsidRPr="00B42D96" w:rsidRDefault="00881EEC" w:rsidP="00B42D96">
                  <w:pPr>
                    <w:rPr>
                      <w:rFonts w:ascii="Times New Roman" w:hAnsi="Times New Roman"/>
                    </w:rPr>
                  </w:pPr>
                </w:p>
                <w:p w:rsidR="00881EEC" w:rsidRPr="00B42D96" w:rsidRDefault="00881EEC" w:rsidP="00B42D96">
                  <w:pPr>
                    <w:rPr>
                      <w:rFonts w:ascii="Times New Roman" w:hAnsi="Times New Roman"/>
                    </w:rPr>
                  </w:pPr>
                  <w:r w:rsidRPr="00B42D96">
                    <w:rPr>
                      <w:rFonts w:ascii="Times New Roman" w:hAnsi="Times New Roman"/>
                    </w:rPr>
                    <w:t xml:space="preserve">(b) </w:t>
                  </w:r>
                  <w:proofErr w:type="gramStart"/>
                  <w:r w:rsidRPr="00B42D96">
                    <w:rPr>
                      <w:rFonts w:ascii="Times New Roman" w:hAnsi="Times New Roman"/>
                    </w:rPr>
                    <w:t>there</w:t>
                  </w:r>
                  <w:proofErr w:type="gramEnd"/>
                  <w:r w:rsidRPr="00B42D96">
                    <w:rPr>
                      <w:rFonts w:ascii="Times New Roman" w:hAnsi="Times New Roman"/>
                    </w:rPr>
                    <w:t xml:space="preserve"> is an </w:t>
                  </w:r>
                  <w:r w:rsidRPr="009109B0">
                    <w:rPr>
                      <w:rFonts w:ascii="Times New Roman" w:hAnsi="Times New Roman"/>
                      <w:b/>
                    </w:rPr>
                    <w:t>appropriate maximum housing benefit</w:t>
                  </w:r>
                  <w:r w:rsidRPr="00B42D96">
                    <w:rPr>
                      <w:rFonts w:ascii="Times New Roman" w:hAnsi="Times New Roman"/>
                    </w:rPr>
                    <w:t xml:space="preserve"> in his case</w:t>
                  </w:r>
                </w:p>
                <w:p w:rsidR="00881EEC" w:rsidRPr="00B42D96" w:rsidRDefault="00881EEC" w:rsidP="00B42D96">
                  <w:pPr>
                    <w:rPr>
                      <w:rFonts w:ascii="Times New Roman" w:hAnsi="Times New Roman"/>
                    </w:rPr>
                  </w:pPr>
                </w:p>
                <w:p w:rsidR="00881EEC" w:rsidRPr="00B42D96" w:rsidRDefault="00881EEC" w:rsidP="00B42D96">
                  <w:pPr>
                    <w:rPr>
                      <w:rFonts w:ascii="Times New Roman" w:hAnsi="Times New Roman"/>
                    </w:rPr>
                  </w:pPr>
                  <w:r w:rsidRPr="00B42D96">
                    <w:rPr>
                      <w:rFonts w:ascii="Times New Roman" w:hAnsi="Times New Roman"/>
                    </w:rPr>
                    <w:t xml:space="preserve">130A. </w:t>
                  </w:r>
                  <w:proofErr w:type="gramStart"/>
                  <w:r w:rsidRPr="00B42D96">
                    <w:rPr>
                      <w:rFonts w:ascii="Times New Roman" w:hAnsi="Times New Roman"/>
                    </w:rPr>
                    <w:t>—(</w:t>
                  </w:r>
                  <w:proofErr w:type="gramEnd"/>
                  <w:r w:rsidRPr="00B42D96">
                    <w:rPr>
                      <w:rFonts w:ascii="Times New Roman" w:hAnsi="Times New Roman"/>
                    </w:rPr>
                    <w:t xml:space="preserve">1) For the purposes of section 130 above, the appropriate </w:t>
                  </w:r>
                  <w:r>
                    <w:rPr>
                      <w:rFonts w:ascii="Times New Roman" w:hAnsi="Times New Roman"/>
                    </w:rPr>
                    <w:t>m</w:t>
                  </w:r>
                  <w:r w:rsidRPr="00B42D96">
                    <w:rPr>
                      <w:rFonts w:ascii="Times New Roman" w:hAnsi="Times New Roman"/>
                    </w:rPr>
                    <w:t>aximum housing benefit (in this section referred to as “the AMHB”) is determined in accordance with this section</w:t>
                  </w:r>
                </w:p>
                <w:p w:rsidR="00881EEC" w:rsidRPr="00B42D96" w:rsidRDefault="00881EEC" w:rsidP="00B42D96">
                  <w:pPr>
                    <w:rPr>
                      <w:rFonts w:ascii="Times New Roman" w:hAnsi="Times New Roman"/>
                    </w:rPr>
                  </w:pPr>
                </w:p>
                <w:p w:rsidR="00881EEC" w:rsidRPr="00B42D96" w:rsidRDefault="00881EEC" w:rsidP="00B42D96">
                  <w:pPr>
                    <w:rPr>
                      <w:rFonts w:ascii="Times New Roman" w:hAnsi="Times New Roman"/>
                    </w:rPr>
                  </w:pPr>
                  <w:r w:rsidRPr="00B42D96">
                    <w:rPr>
                      <w:rFonts w:ascii="Times New Roman" w:hAnsi="Times New Roman"/>
                    </w:rPr>
                    <w:t>(2) Regulations must prescribe the manner in which the AMHB</w:t>
                  </w:r>
                  <w:r>
                    <w:rPr>
                      <w:rFonts w:ascii="Times New Roman" w:hAnsi="Times New Roman"/>
                    </w:rPr>
                    <w:t xml:space="preserve"> </w:t>
                  </w:r>
                  <w:r w:rsidRPr="00B42D96">
                    <w:rPr>
                      <w:rFonts w:ascii="Times New Roman" w:hAnsi="Times New Roman"/>
                    </w:rPr>
                    <w:t>is to be determined</w:t>
                  </w:r>
                </w:p>
              </w:txbxContent>
            </v:textbox>
          </v:shape>
        </w:pict>
      </w:r>
    </w:p>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Pr="009109B0" w:rsidRDefault="009109B0" w:rsidP="009109B0"/>
    <w:p w:rsidR="009109B0" w:rsidRDefault="009109B0" w:rsidP="009109B0"/>
    <w:p w:rsidR="009109B0" w:rsidRPr="00881EEC" w:rsidRDefault="00881EEC" w:rsidP="009109B0">
      <w:pPr>
        <w:rPr>
          <w:color w:val="FFFFFF" w:themeColor="background1"/>
        </w:rPr>
      </w:pPr>
      <w:bookmarkStart w:id="0" w:name="_Ref376877847"/>
      <w:r w:rsidRPr="00881EEC">
        <w:rPr>
          <w:rStyle w:val="EndnoteReference"/>
          <w:color w:val="FFFFFF" w:themeColor="background1"/>
        </w:rPr>
        <w:endnoteReference w:id="1"/>
      </w:r>
      <w:bookmarkEnd w:id="0"/>
    </w:p>
    <w:p w:rsidR="009109B0" w:rsidRDefault="009109B0">
      <w:pPr>
        <w:spacing w:after="200" w:line="276" w:lineRule="auto"/>
      </w:pPr>
      <w:r>
        <w:br w:type="page"/>
      </w:r>
    </w:p>
    <w:p w:rsidR="009109B0" w:rsidRPr="009109B0" w:rsidRDefault="009109B0" w:rsidP="009109B0">
      <w:pPr>
        <w:rPr>
          <w:rFonts w:ascii="Times New Roman" w:hAnsi="Times New Roman"/>
          <w:b/>
        </w:rPr>
      </w:pPr>
      <w:r>
        <w:rPr>
          <w:rFonts w:ascii="Times New Roman" w:hAnsi="Times New Roman"/>
          <w:b/>
        </w:rPr>
        <w:t>Extracts from Schedule 3 to HB&amp;CTB Consequential Provisions Regs 2006</w:t>
      </w:r>
      <w:r w:rsidR="00DE13A1">
        <w:rPr>
          <w:rStyle w:val="EndnoteReference"/>
          <w:rFonts w:ascii="Times New Roman" w:hAnsi="Times New Roman"/>
          <w:b/>
        </w:rPr>
        <w:endnoteReference w:id="2"/>
      </w:r>
    </w:p>
    <w:p w:rsidR="009109B0" w:rsidRDefault="009109B0" w:rsidP="009109B0">
      <w:pPr>
        <w:rPr>
          <w:rFonts w:ascii="Times New Roman" w:hAnsi="Times New Roman"/>
        </w:rPr>
      </w:pPr>
    </w:p>
    <w:p w:rsidR="009109B0" w:rsidRPr="009109B0" w:rsidRDefault="009109B0" w:rsidP="009109B0">
      <w:pPr>
        <w:rPr>
          <w:rFonts w:ascii="Times New Roman" w:hAnsi="Times New Roman"/>
        </w:rPr>
      </w:pPr>
      <w:r w:rsidRPr="009109B0">
        <w:rPr>
          <w:rFonts w:ascii="Times New Roman" w:hAnsi="Times New Roman"/>
        </w:rPr>
        <w:t>4.—(1) Subject to the following provisions of this paragraph, the eligible rent of a</w:t>
      </w:r>
      <w:r>
        <w:rPr>
          <w:rFonts w:ascii="Times New Roman" w:hAnsi="Times New Roman"/>
        </w:rPr>
        <w:t xml:space="preserve"> </w:t>
      </w:r>
      <w:r w:rsidRPr="009109B0">
        <w:rPr>
          <w:rFonts w:ascii="Times New Roman" w:hAnsi="Times New Roman"/>
        </w:rPr>
        <w:t>person–</w:t>
      </w:r>
    </w:p>
    <w:p w:rsidR="009109B0" w:rsidRDefault="009109B0" w:rsidP="009109B0">
      <w:pPr>
        <w:rPr>
          <w:rFonts w:ascii="Times New Roman" w:hAnsi="Times New Roman"/>
        </w:rPr>
      </w:pPr>
    </w:p>
    <w:p w:rsidR="009109B0" w:rsidRPr="009109B0" w:rsidRDefault="009109B0" w:rsidP="0011691E">
      <w:pPr>
        <w:ind w:left="426"/>
        <w:rPr>
          <w:rFonts w:ascii="Times New Roman" w:hAnsi="Times New Roman"/>
        </w:rPr>
      </w:pPr>
      <w:r w:rsidRPr="009109B0">
        <w:rPr>
          <w:rFonts w:ascii="Times New Roman" w:hAnsi="Times New Roman"/>
        </w:rPr>
        <w:t xml:space="preserve">(a) </w:t>
      </w:r>
      <w:proofErr w:type="gramStart"/>
      <w:r w:rsidRPr="009109B0">
        <w:rPr>
          <w:rFonts w:ascii="Times New Roman" w:hAnsi="Times New Roman"/>
        </w:rPr>
        <w:t>who</w:t>
      </w:r>
      <w:proofErr w:type="gramEnd"/>
      <w:r w:rsidRPr="009109B0">
        <w:rPr>
          <w:rFonts w:ascii="Times New Roman" w:hAnsi="Times New Roman"/>
        </w:rPr>
        <w:t xml:space="preserve"> </w:t>
      </w:r>
      <w:r w:rsidRPr="009109B0">
        <w:rPr>
          <w:rFonts w:ascii="Times New Roman" w:hAnsi="Times New Roman"/>
          <w:b/>
        </w:rPr>
        <w:t xml:space="preserve">was entitled to housing benefit on both </w:t>
      </w:r>
      <w:r w:rsidRPr="000A766F">
        <w:rPr>
          <w:rFonts w:ascii="Times New Roman" w:hAnsi="Times New Roman"/>
          <w:b/>
          <w:u w:val="single"/>
        </w:rPr>
        <w:t>the first date</w:t>
      </w:r>
      <w:r w:rsidRPr="009109B0">
        <w:rPr>
          <w:rFonts w:ascii="Times New Roman" w:hAnsi="Times New Roman"/>
          <w:b/>
        </w:rPr>
        <w:t xml:space="preserve"> and </w:t>
      </w:r>
      <w:r w:rsidRPr="000A766F">
        <w:rPr>
          <w:rFonts w:ascii="Times New Roman" w:hAnsi="Times New Roman"/>
          <w:b/>
          <w:u w:val="single"/>
        </w:rPr>
        <w:t>the second date</w:t>
      </w:r>
      <w:r w:rsidRPr="009109B0">
        <w:rPr>
          <w:rFonts w:ascii="Times New Roman" w:hAnsi="Times New Roman"/>
        </w:rPr>
        <w:t>; or</w:t>
      </w:r>
    </w:p>
    <w:p w:rsidR="009109B0" w:rsidRDefault="009109B0" w:rsidP="0011691E">
      <w:pPr>
        <w:ind w:left="426"/>
        <w:rPr>
          <w:rFonts w:ascii="Times New Roman" w:hAnsi="Times New Roman"/>
        </w:rPr>
      </w:pPr>
      <w:r w:rsidRPr="009109B0">
        <w:rPr>
          <w:rFonts w:ascii="Times New Roman" w:hAnsi="Times New Roman"/>
        </w:rPr>
        <w:t xml:space="preserve">(b) </w:t>
      </w:r>
      <w:proofErr w:type="gramStart"/>
      <w:r w:rsidRPr="009109B0">
        <w:rPr>
          <w:rFonts w:ascii="Times New Roman" w:hAnsi="Times New Roman"/>
        </w:rPr>
        <w:t>who</w:t>
      </w:r>
      <w:proofErr w:type="gramEnd"/>
      <w:r w:rsidRPr="009109B0">
        <w:rPr>
          <w:rFonts w:ascii="Times New Roman" w:hAnsi="Times New Roman"/>
        </w:rPr>
        <w:t xml:space="preserve"> is liable to make payments in respect of a dwelling occupied by him as</w:t>
      </w:r>
      <w:r>
        <w:rPr>
          <w:rFonts w:ascii="Times New Roman" w:hAnsi="Times New Roman"/>
        </w:rPr>
        <w:t xml:space="preserve"> </w:t>
      </w:r>
      <w:r w:rsidRPr="009109B0">
        <w:rPr>
          <w:rFonts w:ascii="Times New Roman" w:hAnsi="Times New Roman"/>
        </w:rPr>
        <w:t>his home, which is exempt accommodation</w:t>
      </w:r>
      <w:r w:rsidR="002A37E4">
        <w:rPr>
          <w:rStyle w:val="EndnoteReference"/>
          <w:rFonts w:ascii="Times New Roman" w:hAnsi="Times New Roman"/>
        </w:rPr>
        <w:endnoteReference w:id="3"/>
      </w:r>
      <w:r w:rsidRPr="009109B0">
        <w:rPr>
          <w:rFonts w:ascii="Times New Roman" w:hAnsi="Times New Roman"/>
        </w:rPr>
        <w:t>,</w:t>
      </w:r>
    </w:p>
    <w:p w:rsidR="009109B0" w:rsidRDefault="009109B0" w:rsidP="009109B0">
      <w:pPr>
        <w:rPr>
          <w:rFonts w:ascii="Times New Roman" w:hAnsi="Times New Roman"/>
        </w:rPr>
      </w:pPr>
    </w:p>
    <w:p w:rsidR="009109B0" w:rsidRPr="009109B0" w:rsidRDefault="009109B0" w:rsidP="009109B0">
      <w:pPr>
        <w:rPr>
          <w:rFonts w:ascii="Times New Roman" w:hAnsi="Times New Roman"/>
        </w:rPr>
      </w:pPr>
      <w:proofErr w:type="gramStart"/>
      <w:r w:rsidRPr="009109B0">
        <w:rPr>
          <w:rFonts w:ascii="Times New Roman" w:hAnsi="Times New Roman"/>
        </w:rPr>
        <w:t>shall</w:t>
      </w:r>
      <w:proofErr w:type="gramEnd"/>
      <w:r w:rsidRPr="009109B0">
        <w:rPr>
          <w:rFonts w:ascii="Times New Roman" w:hAnsi="Times New Roman"/>
        </w:rPr>
        <w:t xml:space="preserve"> be determined in</w:t>
      </w:r>
      <w:r>
        <w:rPr>
          <w:rFonts w:ascii="Times New Roman" w:hAnsi="Times New Roman"/>
        </w:rPr>
        <w:t xml:space="preserve"> </w:t>
      </w:r>
      <w:r w:rsidRPr="009109B0">
        <w:rPr>
          <w:rFonts w:ascii="Times New Roman" w:hAnsi="Times New Roman"/>
        </w:rPr>
        <w:t>accordance with–</w:t>
      </w:r>
    </w:p>
    <w:p w:rsidR="009109B0" w:rsidRDefault="009109B0" w:rsidP="009109B0">
      <w:pPr>
        <w:rPr>
          <w:rFonts w:ascii="Times New Roman" w:hAnsi="Times New Roman"/>
        </w:rPr>
      </w:pPr>
    </w:p>
    <w:p w:rsidR="009109B0" w:rsidRPr="009109B0" w:rsidRDefault="009109B0" w:rsidP="0011691E">
      <w:pPr>
        <w:ind w:left="851"/>
        <w:rPr>
          <w:rFonts w:ascii="Times New Roman" w:hAnsi="Times New Roman"/>
        </w:rPr>
      </w:pPr>
      <w:r w:rsidRPr="009109B0">
        <w:rPr>
          <w:rFonts w:ascii="Times New Roman" w:hAnsi="Times New Roman"/>
        </w:rPr>
        <w:t>(</w:t>
      </w:r>
      <w:proofErr w:type="spellStart"/>
      <w:r w:rsidRPr="009109B0">
        <w:rPr>
          <w:rFonts w:ascii="Times New Roman" w:hAnsi="Times New Roman"/>
        </w:rPr>
        <w:t>i</w:t>
      </w:r>
      <w:proofErr w:type="spellEnd"/>
      <w:r w:rsidRPr="009109B0">
        <w:rPr>
          <w:rFonts w:ascii="Times New Roman" w:hAnsi="Times New Roman"/>
        </w:rPr>
        <w:t xml:space="preserve">) </w:t>
      </w:r>
      <w:proofErr w:type="gramStart"/>
      <w:r w:rsidRPr="009109B0">
        <w:rPr>
          <w:rFonts w:ascii="Times New Roman" w:hAnsi="Times New Roman"/>
        </w:rPr>
        <w:t>regulations</w:t>
      </w:r>
      <w:proofErr w:type="gramEnd"/>
      <w:r w:rsidRPr="009109B0">
        <w:rPr>
          <w:rFonts w:ascii="Times New Roman" w:hAnsi="Times New Roman"/>
        </w:rPr>
        <w:t xml:space="preserve"> 12 (rent) and 13 (maximum rent) of the Housing Benefit</w:t>
      </w:r>
      <w:r>
        <w:rPr>
          <w:rFonts w:ascii="Times New Roman" w:hAnsi="Times New Roman"/>
        </w:rPr>
        <w:t xml:space="preserve"> </w:t>
      </w:r>
      <w:r w:rsidRPr="009109B0">
        <w:rPr>
          <w:rFonts w:ascii="Times New Roman" w:hAnsi="Times New Roman"/>
        </w:rPr>
        <w:t>Regulations, or, as the case may be,</w:t>
      </w:r>
    </w:p>
    <w:p w:rsidR="009109B0" w:rsidRPr="009109B0" w:rsidRDefault="009109B0" w:rsidP="0011691E">
      <w:pPr>
        <w:ind w:left="851"/>
        <w:rPr>
          <w:rFonts w:ascii="Times New Roman" w:hAnsi="Times New Roman"/>
        </w:rPr>
      </w:pPr>
      <w:r w:rsidRPr="009109B0">
        <w:rPr>
          <w:rFonts w:ascii="Times New Roman" w:hAnsi="Times New Roman"/>
        </w:rPr>
        <w:t xml:space="preserve">(ii) </w:t>
      </w:r>
      <w:proofErr w:type="gramStart"/>
      <w:r w:rsidRPr="009109B0">
        <w:rPr>
          <w:rFonts w:ascii="Times New Roman" w:hAnsi="Times New Roman"/>
        </w:rPr>
        <w:t>regulations</w:t>
      </w:r>
      <w:proofErr w:type="gramEnd"/>
      <w:r w:rsidRPr="009109B0">
        <w:rPr>
          <w:rFonts w:ascii="Times New Roman" w:hAnsi="Times New Roman"/>
        </w:rPr>
        <w:t xml:space="preserve"> 12 (rent) and 13 (maximum rent) of the Housing Benefit</w:t>
      </w:r>
      <w:r>
        <w:rPr>
          <w:rFonts w:ascii="Times New Roman" w:hAnsi="Times New Roman"/>
        </w:rPr>
        <w:t xml:space="preserve"> </w:t>
      </w:r>
      <w:r w:rsidRPr="009109B0">
        <w:rPr>
          <w:rFonts w:ascii="Times New Roman" w:hAnsi="Times New Roman"/>
        </w:rPr>
        <w:t>(State Pension Credit) Regulations,</w:t>
      </w:r>
    </w:p>
    <w:p w:rsidR="009109B0" w:rsidRDefault="009109B0" w:rsidP="009109B0">
      <w:pPr>
        <w:rPr>
          <w:rFonts w:ascii="Times New Roman" w:hAnsi="Times New Roman"/>
        </w:rPr>
      </w:pPr>
    </w:p>
    <w:p w:rsidR="009109B0" w:rsidRPr="009109B0" w:rsidRDefault="009109B0" w:rsidP="009109B0">
      <w:pPr>
        <w:rPr>
          <w:rFonts w:ascii="Times New Roman" w:hAnsi="Times New Roman"/>
        </w:rPr>
      </w:pPr>
      <w:proofErr w:type="gramStart"/>
      <w:r w:rsidRPr="009109B0">
        <w:rPr>
          <w:rFonts w:ascii="Times New Roman" w:hAnsi="Times New Roman"/>
        </w:rPr>
        <w:t>as</w:t>
      </w:r>
      <w:proofErr w:type="gramEnd"/>
      <w:r w:rsidRPr="009109B0">
        <w:rPr>
          <w:rFonts w:ascii="Times New Roman" w:hAnsi="Times New Roman"/>
        </w:rPr>
        <w:t xml:space="preserve"> set out in paragraph 5</w:t>
      </w:r>
      <w:r w:rsidR="002C5124">
        <w:rPr>
          <w:rFonts w:ascii="Times New Roman" w:hAnsi="Times New Roman"/>
        </w:rPr>
        <w:t xml:space="preserve"> </w:t>
      </w:r>
      <w:r w:rsidR="002C5124" w:rsidRPr="002C5124">
        <w:rPr>
          <w:rFonts w:ascii="Times New Roman" w:hAnsi="Times New Roman"/>
          <w:i/>
        </w:rPr>
        <w:t>[the “old” Regs 12 and 13 – no bedroom tax etc]</w:t>
      </w:r>
      <w:r w:rsidRPr="002C5124">
        <w:rPr>
          <w:rFonts w:ascii="Times New Roman" w:hAnsi="Times New Roman"/>
          <w:i/>
        </w:rPr>
        <w:t>.</w:t>
      </w:r>
    </w:p>
    <w:p w:rsidR="009109B0" w:rsidRDefault="009109B0" w:rsidP="009109B0">
      <w:pPr>
        <w:rPr>
          <w:rFonts w:ascii="Times New Roman" w:hAnsi="Times New Roman"/>
        </w:rPr>
      </w:pPr>
    </w:p>
    <w:p w:rsidR="009109B0" w:rsidRPr="009109B0" w:rsidRDefault="002A37E4" w:rsidP="009109B0">
      <w:pPr>
        <w:rPr>
          <w:rFonts w:ascii="Times New Roman" w:hAnsi="Times New Roman"/>
        </w:rPr>
      </w:pPr>
      <w:r>
        <w:rPr>
          <w:rStyle w:val="EndnoteReference"/>
          <w:rFonts w:ascii="Times New Roman" w:hAnsi="Times New Roman"/>
        </w:rPr>
        <w:endnoteReference w:id="4"/>
      </w:r>
      <w:r w:rsidR="009109B0" w:rsidRPr="009109B0">
        <w:rPr>
          <w:rFonts w:ascii="Times New Roman" w:hAnsi="Times New Roman"/>
        </w:rPr>
        <w:t>(2) Sub-paragraph (1</w:t>
      </w:r>
      <w:proofErr w:type="gramStart"/>
      <w:r w:rsidR="009109B0" w:rsidRPr="009109B0">
        <w:rPr>
          <w:rFonts w:ascii="Times New Roman" w:hAnsi="Times New Roman"/>
        </w:rPr>
        <w:t>)(</w:t>
      </w:r>
      <w:proofErr w:type="gramEnd"/>
      <w:r w:rsidR="009109B0" w:rsidRPr="009109B0">
        <w:rPr>
          <w:rFonts w:ascii="Times New Roman" w:hAnsi="Times New Roman"/>
        </w:rPr>
        <w:t xml:space="preserve">a) </w:t>
      </w:r>
      <w:r w:rsidR="009109B0" w:rsidRPr="0011691E">
        <w:rPr>
          <w:rFonts w:ascii="Times New Roman" w:hAnsi="Times New Roman"/>
          <w:b/>
        </w:rPr>
        <w:t>shall not apply</w:t>
      </w:r>
      <w:r w:rsidR="009109B0" w:rsidRPr="009109B0">
        <w:rPr>
          <w:rFonts w:ascii="Times New Roman" w:hAnsi="Times New Roman"/>
        </w:rPr>
        <w:t xml:space="preserve"> to–</w:t>
      </w:r>
    </w:p>
    <w:p w:rsidR="0011691E" w:rsidRDefault="0011691E" w:rsidP="009109B0">
      <w:pPr>
        <w:rPr>
          <w:rFonts w:ascii="Times New Roman" w:hAnsi="Times New Roman"/>
        </w:rPr>
      </w:pPr>
    </w:p>
    <w:p w:rsidR="009109B0" w:rsidRPr="009109B0" w:rsidRDefault="009109B0" w:rsidP="0011691E">
      <w:pPr>
        <w:tabs>
          <w:tab w:val="left" w:pos="426"/>
        </w:tabs>
        <w:ind w:left="426"/>
        <w:rPr>
          <w:rFonts w:ascii="Times New Roman" w:hAnsi="Times New Roman"/>
        </w:rPr>
      </w:pPr>
      <w:r w:rsidRPr="009109B0">
        <w:rPr>
          <w:rFonts w:ascii="Times New Roman" w:hAnsi="Times New Roman"/>
        </w:rPr>
        <w:t>(a) any determination of a person's eligible rent in a case where a relevant</w:t>
      </w:r>
      <w:r w:rsidR="0011691E">
        <w:rPr>
          <w:rFonts w:ascii="Times New Roman" w:hAnsi="Times New Roman"/>
        </w:rPr>
        <w:t xml:space="preserve"> </w:t>
      </w:r>
      <w:r w:rsidRPr="009109B0">
        <w:rPr>
          <w:rFonts w:ascii="Times New Roman" w:hAnsi="Times New Roman"/>
        </w:rPr>
        <w:t xml:space="preserve">authority is required </w:t>
      </w:r>
      <w:r w:rsidR="0011691E">
        <w:rPr>
          <w:rFonts w:ascii="Times New Roman" w:hAnsi="Times New Roman"/>
        </w:rPr>
        <w:t xml:space="preserve"> </w:t>
      </w:r>
      <w:r w:rsidRPr="009109B0">
        <w:rPr>
          <w:rFonts w:ascii="Times New Roman" w:hAnsi="Times New Roman"/>
        </w:rPr>
        <w:t xml:space="preserve">to determine a </w:t>
      </w:r>
      <w:r w:rsidRPr="0011691E">
        <w:rPr>
          <w:rFonts w:ascii="Times New Roman" w:hAnsi="Times New Roman"/>
          <w:b/>
        </w:rPr>
        <w:t xml:space="preserve">maximum rent (LHA) </w:t>
      </w:r>
      <w:r w:rsidRPr="009109B0">
        <w:rPr>
          <w:rFonts w:ascii="Times New Roman" w:hAnsi="Times New Roman"/>
        </w:rPr>
        <w:t>by virtue of</w:t>
      </w:r>
      <w:r w:rsidR="0011691E">
        <w:rPr>
          <w:rFonts w:ascii="Times New Roman" w:hAnsi="Times New Roman"/>
        </w:rPr>
        <w:t xml:space="preserve"> </w:t>
      </w:r>
      <w:r w:rsidRPr="009109B0">
        <w:rPr>
          <w:rFonts w:ascii="Times New Roman" w:hAnsi="Times New Roman"/>
        </w:rPr>
        <w:t>regulation 13C of the Housing Benefit Regulations or, as the case may be,</w:t>
      </w:r>
      <w:r w:rsidR="0011691E">
        <w:rPr>
          <w:rFonts w:ascii="Times New Roman" w:hAnsi="Times New Roman"/>
        </w:rPr>
        <w:t xml:space="preserve"> </w:t>
      </w:r>
      <w:r w:rsidRPr="009109B0">
        <w:rPr>
          <w:rFonts w:ascii="Times New Roman" w:hAnsi="Times New Roman"/>
        </w:rPr>
        <w:t>regulation 13C of the Housing Benefit (State Pension Credit) Regulations;</w:t>
      </w:r>
      <w:r w:rsidR="002A37E4">
        <w:rPr>
          <w:rStyle w:val="EndnoteReference"/>
          <w:rFonts w:ascii="Times New Roman" w:hAnsi="Times New Roman"/>
        </w:rPr>
        <w:endnoteReference w:id="5"/>
      </w:r>
    </w:p>
    <w:p w:rsidR="0011691E" w:rsidRDefault="0011691E" w:rsidP="0011691E">
      <w:pPr>
        <w:tabs>
          <w:tab w:val="left" w:pos="426"/>
        </w:tabs>
        <w:ind w:left="426"/>
        <w:rPr>
          <w:rFonts w:ascii="Times New Roman" w:hAnsi="Times New Roman"/>
        </w:rPr>
      </w:pPr>
    </w:p>
    <w:p w:rsidR="009109B0" w:rsidRPr="009109B0" w:rsidRDefault="009109B0" w:rsidP="0011691E">
      <w:pPr>
        <w:tabs>
          <w:tab w:val="left" w:pos="426"/>
        </w:tabs>
        <w:ind w:left="426"/>
        <w:rPr>
          <w:rFonts w:ascii="Times New Roman" w:hAnsi="Times New Roman"/>
        </w:rPr>
      </w:pPr>
      <w:proofErr w:type="gramStart"/>
      <w:r w:rsidRPr="009109B0">
        <w:rPr>
          <w:rFonts w:ascii="Times New Roman" w:hAnsi="Times New Roman"/>
        </w:rPr>
        <w:t>or</w:t>
      </w:r>
      <w:proofErr w:type="gramEnd"/>
    </w:p>
    <w:p w:rsidR="0011691E" w:rsidRDefault="0011691E" w:rsidP="0011691E">
      <w:pPr>
        <w:tabs>
          <w:tab w:val="left" w:pos="426"/>
        </w:tabs>
        <w:ind w:left="426"/>
        <w:rPr>
          <w:rFonts w:ascii="Times New Roman" w:hAnsi="Times New Roman"/>
        </w:rPr>
      </w:pPr>
    </w:p>
    <w:p w:rsidR="009109B0" w:rsidRPr="009109B0" w:rsidRDefault="009109B0" w:rsidP="0011691E">
      <w:pPr>
        <w:tabs>
          <w:tab w:val="left" w:pos="426"/>
        </w:tabs>
        <w:ind w:left="426"/>
        <w:rPr>
          <w:rFonts w:ascii="Times New Roman" w:hAnsi="Times New Roman"/>
        </w:rPr>
      </w:pPr>
      <w:r w:rsidRPr="009109B0">
        <w:rPr>
          <w:rFonts w:ascii="Times New Roman" w:hAnsi="Times New Roman"/>
        </w:rPr>
        <w:t xml:space="preserve">(b) </w:t>
      </w:r>
      <w:proofErr w:type="gramStart"/>
      <w:r w:rsidRPr="009109B0">
        <w:rPr>
          <w:rFonts w:ascii="Times New Roman" w:hAnsi="Times New Roman"/>
        </w:rPr>
        <w:t>any</w:t>
      </w:r>
      <w:proofErr w:type="gramEnd"/>
      <w:r w:rsidRPr="009109B0">
        <w:rPr>
          <w:rFonts w:ascii="Times New Roman" w:hAnsi="Times New Roman"/>
        </w:rPr>
        <w:t xml:space="preserve"> </w:t>
      </w:r>
      <w:r w:rsidRPr="002A37E4">
        <w:rPr>
          <w:rFonts w:ascii="Times New Roman" w:hAnsi="Times New Roman"/>
          <w:b/>
        </w:rPr>
        <w:t>subsequent</w:t>
      </w:r>
      <w:r w:rsidRPr="009109B0">
        <w:rPr>
          <w:rFonts w:ascii="Times New Roman" w:hAnsi="Times New Roman"/>
        </w:rPr>
        <w:t xml:space="preserve"> determination of his eligible rent</w:t>
      </w:r>
      <w:r w:rsidR="002A37E4">
        <w:rPr>
          <w:rStyle w:val="EndnoteReference"/>
          <w:rFonts w:ascii="Times New Roman" w:hAnsi="Times New Roman"/>
        </w:rPr>
        <w:endnoteReference w:id="6"/>
      </w:r>
      <w:r w:rsidRPr="009109B0">
        <w:rPr>
          <w:rFonts w:ascii="Times New Roman" w:hAnsi="Times New Roman"/>
        </w:rPr>
        <w:t>.</w:t>
      </w:r>
    </w:p>
    <w:p w:rsidR="0011691E" w:rsidRDefault="0011691E" w:rsidP="009109B0">
      <w:pPr>
        <w:rPr>
          <w:rFonts w:ascii="Times New Roman" w:hAnsi="Times New Roman"/>
        </w:rPr>
      </w:pPr>
    </w:p>
    <w:p w:rsidR="009109B0" w:rsidRPr="009109B0" w:rsidRDefault="009109B0" w:rsidP="009109B0">
      <w:pPr>
        <w:rPr>
          <w:rFonts w:ascii="Times New Roman" w:hAnsi="Times New Roman"/>
        </w:rPr>
      </w:pPr>
      <w:r w:rsidRPr="009109B0">
        <w:rPr>
          <w:rFonts w:ascii="Times New Roman" w:hAnsi="Times New Roman"/>
        </w:rPr>
        <w:t>(3) Sub-paragraph (1</w:t>
      </w:r>
      <w:proofErr w:type="gramStart"/>
      <w:r w:rsidRPr="009109B0">
        <w:rPr>
          <w:rFonts w:ascii="Times New Roman" w:hAnsi="Times New Roman"/>
        </w:rPr>
        <w:t>)(</w:t>
      </w:r>
      <w:proofErr w:type="gramEnd"/>
      <w:r w:rsidRPr="009109B0">
        <w:rPr>
          <w:rFonts w:ascii="Times New Roman" w:hAnsi="Times New Roman"/>
        </w:rPr>
        <w:t xml:space="preserve">a) </w:t>
      </w:r>
      <w:r w:rsidRPr="0011691E">
        <w:rPr>
          <w:rFonts w:ascii="Times New Roman" w:hAnsi="Times New Roman"/>
          <w:b/>
        </w:rPr>
        <w:t>shall only apply</w:t>
      </w:r>
      <w:r w:rsidRPr="009109B0">
        <w:rPr>
          <w:rFonts w:ascii="Times New Roman" w:hAnsi="Times New Roman"/>
        </w:rPr>
        <w:t xml:space="preserve"> in a case where–</w:t>
      </w:r>
    </w:p>
    <w:p w:rsidR="0011691E" w:rsidRDefault="0011691E" w:rsidP="009109B0">
      <w:pPr>
        <w:rPr>
          <w:rFonts w:ascii="Times New Roman" w:hAnsi="Times New Roman"/>
        </w:rPr>
      </w:pPr>
    </w:p>
    <w:p w:rsidR="009109B0" w:rsidRPr="009109B0" w:rsidRDefault="009109B0" w:rsidP="0011691E">
      <w:pPr>
        <w:ind w:left="426"/>
        <w:rPr>
          <w:rFonts w:ascii="Times New Roman" w:hAnsi="Times New Roman"/>
        </w:rPr>
      </w:pPr>
      <w:r w:rsidRPr="009109B0">
        <w:rPr>
          <w:rFonts w:ascii="Times New Roman" w:hAnsi="Times New Roman"/>
        </w:rPr>
        <w:t xml:space="preserve">(a) </w:t>
      </w:r>
      <w:proofErr w:type="gramStart"/>
      <w:r w:rsidRPr="009109B0">
        <w:rPr>
          <w:rFonts w:ascii="Times New Roman" w:hAnsi="Times New Roman"/>
        </w:rPr>
        <w:t>either</w:t>
      </w:r>
      <w:proofErr w:type="gramEnd"/>
      <w:r w:rsidRPr="009109B0">
        <w:rPr>
          <w:rFonts w:ascii="Times New Roman" w:hAnsi="Times New Roman"/>
        </w:rPr>
        <w:t>–</w:t>
      </w:r>
    </w:p>
    <w:p w:rsidR="0011691E" w:rsidRDefault="0011691E" w:rsidP="0011691E">
      <w:pPr>
        <w:ind w:left="426"/>
        <w:rPr>
          <w:rFonts w:ascii="Times New Roman" w:hAnsi="Times New Roman"/>
        </w:rPr>
      </w:pPr>
    </w:p>
    <w:p w:rsidR="00BA2F2F" w:rsidRDefault="009109B0" w:rsidP="0011691E">
      <w:pPr>
        <w:ind w:left="851"/>
        <w:rPr>
          <w:rFonts w:ascii="Times New Roman" w:hAnsi="Times New Roman"/>
        </w:rPr>
      </w:pPr>
      <w:r w:rsidRPr="009109B0">
        <w:rPr>
          <w:rFonts w:ascii="Times New Roman" w:hAnsi="Times New Roman"/>
        </w:rPr>
        <w:t>(</w:t>
      </w:r>
      <w:proofErr w:type="spellStart"/>
      <w:r w:rsidRPr="009109B0">
        <w:rPr>
          <w:rFonts w:ascii="Times New Roman" w:hAnsi="Times New Roman"/>
        </w:rPr>
        <w:t>i</w:t>
      </w:r>
      <w:proofErr w:type="spellEnd"/>
      <w:r w:rsidRPr="009109B0">
        <w:rPr>
          <w:rFonts w:ascii="Times New Roman" w:hAnsi="Times New Roman"/>
        </w:rPr>
        <w:t xml:space="preserve">) </w:t>
      </w:r>
      <w:proofErr w:type="gramStart"/>
      <w:r w:rsidRPr="009109B0">
        <w:rPr>
          <w:rFonts w:ascii="Times New Roman" w:hAnsi="Times New Roman"/>
        </w:rPr>
        <w:t>the</w:t>
      </w:r>
      <w:proofErr w:type="gramEnd"/>
      <w:r w:rsidRPr="009109B0">
        <w:rPr>
          <w:rFonts w:ascii="Times New Roman" w:hAnsi="Times New Roman"/>
        </w:rPr>
        <w:t xml:space="preserve"> </w:t>
      </w:r>
      <w:r w:rsidRPr="0011691E">
        <w:rPr>
          <w:rFonts w:ascii="Times New Roman" w:hAnsi="Times New Roman"/>
          <w:b/>
        </w:rPr>
        <w:t xml:space="preserve">dwelling occupied as his home </w:t>
      </w:r>
      <w:r w:rsidRPr="009109B0">
        <w:rPr>
          <w:rFonts w:ascii="Times New Roman" w:hAnsi="Times New Roman"/>
        </w:rPr>
        <w:t>by a person to whom sub-paragraph</w:t>
      </w:r>
      <w:r w:rsidR="0011691E">
        <w:rPr>
          <w:rFonts w:ascii="Times New Roman" w:hAnsi="Times New Roman"/>
        </w:rPr>
        <w:t xml:space="preserve"> </w:t>
      </w:r>
      <w:r w:rsidRPr="009109B0">
        <w:rPr>
          <w:rFonts w:ascii="Times New Roman" w:hAnsi="Times New Roman"/>
        </w:rPr>
        <w:t xml:space="preserve">(1)(a) refers is the </w:t>
      </w:r>
      <w:r w:rsidRPr="0011691E">
        <w:rPr>
          <w:rFonts w:ascii="Times New Roman" w:hAnsi="Times New Roman"/>
          <w:b/>
        </w:rPr>
        <w:t xml:space="preserve">same on both </w:t>
      </w:r>
      <w:r w:rsidRPr="0011691E">
        <w:rPr>
          <w:rFonts w:ascii="Times New Roman" w:hAnsi="Times New Roman"/>
          <w:b/>
          <w:u w:val="single"/>
        </w:rPr>
        <w:t>the first date</w:t>
      </w:r>
      <w:r w:rsidRPr="0011691E">
        <w:rPr>
          <w:rFonts w:ascii="Times New Roman" w:hAnsi="Times New Roman"/>
          <w:b/>
        </w:rPr>
        <w:t xml:space="preserve"> and </w:t>
      </w:r>
      <w:r w:rsidRPr="0011691E">
        <w:rPr>
          <w:rFonts w:ascii="Times New Roman" w:hAnsi="Times New Roman"/>
          <w:b/>
          <w:u w:val="single"/>
        </w:rPr>
        <w:t>the second date</w:t>
      </w:r>
      <w:r w:rsidRPr="009109B0">
        <w:rPr>
          <w:rFonts w:ascii="Times New Roman" w:hAnsi="Times New Roman"/>
        </w:rPr>
        <w:t>;</w:t>
      </w:r>
      <w:r w:rsidR="0011691E">
        <w:rPr>
          <w:rFonts w:ascii="Times New Roman" w:hAnsi="Times New Roman"/>
        </w:rPr>
        <w:t xml:space="preserve"> or</w:t>
      </w:r>
    </w:p>
    <w:p w:rsidR="0011691E" w:rsidRDefault="0011691E" w:rsidP="0011691E">
      <w:pPr>
        <w:ind w:left="851"/>
        <w:rPr>
          <w:rFonts w:ascii="Times New Roman" w:hAnsi="Times New Roman"/>
        </w:rPr>
      </w:pPr>
      <w:r>
        <w:rPr>
          <w:rFonts w:ascii="Times New Roman" w:hAnsi="Times New Roman"/>
        </w:rPr>
        <w:t>(ii) [</w:t>
      </w:r>
      <w:proofErr w:type="gramStart"/>
      <w:r>
        <w:rPr>
          <w:rFonts w:ascii="Times New Roman" w:hAnsi="Times New Roman"/>
        </w:rPr>
        <w:t>decants</w:t>
      </w:r>
      <w:proofErr w:type="gramEnd"/>
      <w:r>
        <w:rPr>
          <w:rFonts w:ascii="Times New Roman" w:hAnsi="Times New Roman"/>
        </w:rPr>
        <w:t xml:space="preserve"> etc] </w:t>
      </w:r>
      <w:r w:rsidRPr="0011691E">
        <w:rPr>
          <w:rFonts w:ascii="Times New Roman" w:hAnsi="Times New Roman"/>
          <w:b/>
        </w:rPr>
        <w:t>and</w:t>
      </w:r>
    </w:p>
    <w:p w:rsidR="0011691E" w:rsidRDefault="0011691E" w:rsidP="0011691E">
      <w:pPr>
        <w:rPr>
          <w:rFonts w:ascii="Times New Roman" w:hAnsi="Times New Roman"/>
        </w:rPr>
      </w:pPr>
    </w:p>
    <w:p w:rsidR="0011691E" w:rsidRPr="0011691E" w:rsidRDefault="0011691E" w:rsidP="0011691E">
      <w:pPr>
        <w:ind w:left="426"/>
        <w:rPr>
          <w:rFonts w:ascii="Times New Roman" w:hAnsi="Times New Roman"/>
        </w:rPr>
      </w:pPr>
      <w:r w:rsidRPr="0011691E">
        <w:rPr>
          <w:rFonts w:ascii="Times New Roman" w:hAnsi="Times New Roman"/>
        </w:rPr>
        <w:t xml:space="preserve">(b) </w:t>
      </w:r>
      <w:proofErr w:type="gramStart"/>
      <w:r w:rsidRPr="0011691E">
        <w:rPr>
          <w:rFonts w:ascii="Times New Roman" w:hAnsi="Times New Roman"/>
        </w:rPr>
        <w:t>the</w:t>
      </w:r>
      <w:proofErr w:type="gramEnd"/>
      <w:r w:rsidRPr="0011691E">
        <w:rPr>
          <w:rFonts w:ascii="Times New Roman" w:hAnsi="Times New Roman"/>
        </w:rPr>
        <w:t xml:space="preserve"> person–</w:t>
      </w:r>
    </w:p>
    <w:p w:rsidR="0011691E" w:rsidRDefault="0011691E" w:rsidP="0011691E">
      <w:pPr>
        <w:rPr>
          <w:rFonts w:ascii="Times New Roman" w:hAnsi="Times New Roman"/>
        </w:rPr>
      </w:pPr>
    </w:p>
    <w:p w:rsidR="0011691E" w:rsidRDefault="0011691E" w:rsidP="0011691E">
      <w:pPr>
        <w:ind w:left="851"/>
        <w:rPr>
          <w:rFonts w:ascii="Times New Roman" w:hAnsi="Times New Roman"/>
        </w:rPr>
      </w:pPr>
      <w:r w:rsidRPr="0011691E">
        <w:rPr>
          <w:rFonts w:ascii="Times New Roman" w:hAnsi="Times New Roman"/>
        </w:rPr>
        <w:t>(</w:t>
      </w:r>
      <w:proofErr w:type="spellStart"/>
      <w:r w:rsidRPr="0011691E">
        <w:rPr>
          <w:rFonts w:ascii="Times New Roman" w:hAnsi="Times New Roman"/>
        </w:rPr>
        <w:t>i</w:t>
      </w:r>
      <w:proofErr w:type="spellEnd"/>
      <w:r w:rsidRPr="0011691E">
        <w:rPr>
          <w:rFonts w:ascii="Times New Roman" w:hAnsi="Times New Roman"/>
        </w:rPr>
        <w:t xml:space="preserve">) was </w:t>
      </w:r>
      <w:r w:rsidRPr="0011691E">
        <w:rPr>
          <w:rFonts w:ascii="Times New Roman" w:hAnsi="Times New Roman"/>
          <w:b/>
        </w:rPr>
        <w:t xml:space="preserve">continuously entitled to and in receipt of housing benefit between </w:t>
      </w:r>
      <w:r w:rsidRPr="0011691E">
        <w:rPr>
          <w:rFonts w:ascii="Times New Roman" w:hAnsi="Times New Roman"/>
          <w:b/>
          <w:u w:val="single"/>
        </w:rPr>
        <w:t>the first date</w:t>
      </w:r>
      <w:r w:rsidRPr="0011691E">
        <w:rPr>
          <w:rFonts w:ascii="Times New Roman" w:hAnsi="Times New Roman"/>
          <w:b/>
        </w:rPr>
        <w:t xml:space="preserve"> and </w:t>
      </w:r>
      <w:r w:rsidRPr="0011691E">
        <w:rPr>
          <w:rFonts w:ascii="Times New Roman" w:hAnsi="Times New Roman"/>
          <w:b/>
          <w:u w:val="single"/>
        </w:rPr>
        <w:t>the second date</w:t>
      </w:r>
      <w:r w:rsidRPr="0011691E">
        <w:rPr>
          <w:rFonts w:ascii="Times New Roman" w:hAnsi="Times New Roman"/>
          <w:b/>
        </w:rPr>
        <w:t xml:space="preserve"> in respect of the dwelling to which head (a) above applies</w:t>
      </w:r>
      <w:r w:rsidRPr="0011691E">
        <w:rPr>
          <w:rFonts w:ascii="Times New Roman" w:hAnsi="Times New Roman"/>
        </w:rPr>
        <w:t>; or</w:t>
      </w:r>
    </w:p>
    <w:p w:rsidR="0011691E" w:rsidRDefault="0011691E" w:rsidP="0011691E">
      <w:pPr>
        <w:ind w:left="851"/>
        <w:rPr>
          <w:rFonts w:ascii="Times New Roman" w:hAnsi="Times New Roman"/>
        </w:rPr>
      </w:pPr>
      <w:r>
        <w:rPr>
          <w:rFonts w:ascii="Times New Roman" w:hAnsi="Times New Roman"/>
        </w:rPr>
        <w:t xml:space="preserve">(ii) </w:t>
      </w:r>
      <w:r w:rsidRPr="002C5124">
        <w:rPr>
          <w:rFonts w:ascii="Times New Roman" w:hAnsi="Times New Roman"/>
          <w:i/>
        </w:rPr>
        <w:t>[4 week breaks],</w:t>
      </w:r>
      <w:r>
        <w:rPr>
          <w:rFonts w:ascii="Times New Roman" w:hAnsi="Times New Roman"/>
        </w:rPr>
        <w:t xml:space="preserve"> or</w:t>
      </w:r>
    </w:p>
    <w:p w:rsidR="0011691E" w:rsidRDefault="0011691E" w:rsidP="0011691E">
      <w:pPr>
        <w:ind w:left="851"/>
        <w:rPr>
          <w:rFonts w:ascii="Times New Roman" w:hAnsi="Times New Roman"/>
        </w:rPr>
      </w:pPr>
      <w:r>
        <w:rPr>
          <w:rFonts w:ascii="Times New Roman" w:hAnsi="Times New Roman"/>
        </w:rPr>
        <w:t xml:space="preserve">(iii) </w:t>
      </w:r>
      <w:r w:rsidRPr="002C5124">
        <w:rPr>
          <w:rFonts w:ascii="Times New Roman" w:hAnsi="Times New Roman"/>
          <w:i/>
        </w:rPr>
        <w:t>[</w:t>
      </w:r>
      <w:proofErr w:type="gramStart"/>
      <w:r w:rsidRPr="002C5124">
        <w:rPr>
          <w:rFonts w:ascii="Times New Roman" w:hAnsi="Times New Roman"/>
          <w:i/>
        </w:rPr>
        <w:t>welfare-to-work</w:t>
      </w:r>
      <w:proofErr w:type="gramEnd"/>
      <w:r w:rsidRPr="002C5124">
        <w:rPr>
          <w:rFonts w:ascii="Times New Roman" w:hAnsi="Times New Roman"/>
          <w:i/>
        </w:rPr>
        <w:t xml:space="preserve"> breaks]</w:t>
      </w:r>
    </w:p>
    <w:p w:rsidR="0011691E" w:rsidRDefault="0011691E" w:rsidP="0011691E">
      <w:pPr>
        <w:rPr>
          <w:rFonts w:ascii="Times New Roman" w:hAnsi="Times New Roman"/>
        </w:rPr>
      </w:pPr>
    </w:p>
    <w:p w:rsidR="0011691E" w:rsidRDefault="0011691E" w:rsidP="0011691E">
      <w:pPr>
        <w:rPr>
          <w:rFonts w:ascii="Times New Roman" w:hAnsi="Times New Roman"/>
        </w:rPr>
      </w:pPr>
      <w:r>
        <w:rPr>
          <w:rFonts w:ascii="Times New Roman" w:hAnsi="Times New Roman"/>
        </w:rPr>
        <w:t xml:space="preserve">(5) to (7) </w:t>
      </w:r>
      <w:r w:rsidRPr="002C5124">
        <w:rPr>
          <w:rFonts w:ascii="Times New Roman" w:hAnsi="Times New Roman"/>
          <w:i/>
        </w:rPr>
        <w:t>[protection passed on to successors etc]</w:t>
      </w:r>
    </w:p>
    <w:p w:rsidR="0011691E" w:rsidRDefault="0011691E" w:rsidP="0011691E">
      <w:pPr>
        <w:rPr>
          <w:rFonts w:ascii="Times New Roman" w:hAnsi="Times New Roman"/>
        </w:rPr>
      </w:pPr>
    </w:p>
    <w:p w:rsidR="0011691E" w:rsidRPr="0011691E" w:rsidRDefault="0011691E" w:rsidP="0011691E">
      <w:pPr>
        <w:rPr>
          <w:rFonts w:ascii="Times New Roman" w:hAnsi="Times New Roman"/>
        </w:rPr>
      </w:pPr>
      <w:r w:rsidRPr="0011691E">
        <w:rPr>
          <w:rFonts w:ascii="Times New Roman" w:hAnsi="Times New Roman"/>
        </w:rPr>
        <w:t>(10) In this paragraph–</w:t>
      </w:r>
    </w:p>
    <w:p w:rsidR="0011691E" w:rsidRPr="0011691E" w:rsidRDefault="0011691E" w:rsidP="0011691E">
      <w:pPr>
        <w:rPr>
          <w:rFonts w:ascii="Times New Roman" w:hAnsi="Times New Roman"/>
        </w:rPr>
      </w:pPr>
      <w:r w:rsidRPr="0011691E">
        <w:rPr>
          <w:rFonts w:ascii="Times New Roman" w:hAnsi="Times New Roman"/>
        </w:rPr>
        <w:t>"</w:t>
      </w:r>
      <w:proofErr w:type="gramStart"/>
      <w:r w:rsidRPr="0011691E">
        <w:rPr>
          <w:rFonts w:ascii="Times New Roman" w:hAnsi="Times New Roman"/>
          <w:b/>
        </w:rPr>
        <w:t>the</w:t>
      </w:r>
      <w:proofErr w:type="gramEnd"/>
      <w:r w:rsidRPr="0011691E">
        <w:rPr>
          <w:rFonts w:ascii="Times New Roman" w:hAnsi="Times New Roman"/>
          <w:b/>
        </w:rPr>
        <w:t xml:space="preserve"> first date</w:t>
      </w:r>
      <w:r w:rsidRPr="0011691E">
        <w:rPr>
          <w:rFonts w:ascii="Times New Roman" w:hAnsi="Times New Roman"/>
        </w:rPr>
        <w:t xml:space="preserve">" means </w:t>
      </w:r>
      <w:r w:rsidRPr="0011691E">
        <w:rPr>
          <w:rFonts w:ascii="Times New Roman" w:hAnsi="Times New Roman"/>
          <w:b/>
        </w:rPr>
        <w:t>1st January 1996</w:t>
      </w:r>
      <w:r w:rsidRPr="0011691E">
        <w:rPr>
          <w:rFonts w:ascii="Times New Roman" w:hAnsi="Times New Roman"/>
        </w:rPr>
        <w:t xml:space="preserve">, </w:t>
      </w:r>
      <w:r>
        <w:rPr>
          <w:rFonts w:ascii="Times New Roman" w:hAnsi="Times New Roman"/>
        </w:rPr>
        <w:t xml:space="preserve">except </w:t>
      </w:r>
      <w:r w:rsidRPr="002C5124">
        <w:rPr>
          <w:rFonts w:ascii="Times New Roman" w:hAnsi="Times New Roman"/>
          <w:i/>
        </w:rPr>
        <w:t>[protection passed on to successors]</w:t>
      </w:r>
      <w:r w:rsidRPr="0011691E">
        <w:rPr>
          <w:rFonts w:ascii="Times New Roman" w:hAnsi="Times New Roman"/>
        </w:rPr>
        <w:t>;</w:t>
      </w:r>
    </w:p>
    <w:p w:rsidR="0011691E" w:rsidRDefault="0011691E" w:rsidP="0011691E">
      <w:pPr>
        <w:rPr>
          <w:rFonts w:ascii="Times New Roman" w:hAnsi="Times New Roman"/>
        </w:rPr>
      </w:pPr>
      <w:r w:rsidRPr="0011691E">
        <w:rPr>
          <w:rFonts w:ascii="Times New Roman" w:hAnsi="Times New Roman"/>
        </w:rPr>
        <w:lastRenderedPageBreak/>
        <w:t>"</w:t>
      </w:r>
      <w:proofErr w:type="gramStart"/>
      <w:r w:rsidRPr="0011691E">
        <w:rPr>
          <w:rFonts w:ascii="Times New Roman" w:hAnsi="Times New Roman"/>
          <w:b/>
        </w:rPr>
        <w:t>the</w:t>
      </w:r>
      <w:proofErr w:type="gramEnd"/>
      <w:r w:rsidRPr="0011691E">
        <w:rPr>
          <w:rFonts w:ascii="Times New Roman" w:hAnsi="Times New Roman"/>
          <w:b/>
        </w:rPr>
        <w:t xml:space="preserve"> second date</w:t>
      </w:r>
      <w:r w:rsidRPr="0011691E">
        <w:rPr>
          <w:rFonts w:ascii="Times New Roman" w:hAnsi="Times New Roman"/>
        </w:rPr>
        <w:t>" means any day after the first date for which a claimant's</w:t>
      </w:r>
      <w:r>
        <w:rPr>
          <w:rFonts w:ascii="Times New Roman" w:hAnsi="Times New Roman"/>
        </w:rPr>
        <w:t xml:space="preserve"> </w:t>
      </w:r>
      <w:r w:rsidRPr="0011691E">
        <w:rPr>
          <w:rFonts w:ascii="Times New Roman" w:hAnsi="Times New Roman"/>
        </w:rPr>
        <w:t>entitlement to housing benefit is to be determined</w:t>
      </w:r>
    </w:p>
    <w:p w:rsidR="00E216C8" w:rsidRDefault="00E216C8" w:rsidP="0011691E">
      <w:pPr>
        <w:rPr>
          <w:rFonts w:ascii="Times New Roman" w:hAnsi="Times New Roman"/>
        </w:rPr>
      </w:pPr>
    </w:p>
    <w:p w:rsidR="00E216C8" w:rsidRDefault="00E216C8" w:rsidP="0011691E">
      <w:pPr>
        <w:rPr>
          <w:rFonts w:ascii="Times New Roman" w:hAnsi="Times New Roman"/>
        </w:rPr>
      </w:pPr>
    </w:p>
    <w:p w:rsidR="00E216C8" w:rsidRPr="00E216C8" w:rsidRDefault="00E216C8" w:rsidP="0011691E">
      <w:pPr>
        <w:rPr>
          <w:rFonts w:ascii="Times New Roman" w:hAnsi="Times New Roman"/>
          <w:b/>
          <w:sz w:val="28"/>
        </w:rPr>
      </w:pPr>
      <w:r>
        <w:rPr>
          <w:rFonts w:ascii="Times New Roman" w:hAnsi="Times New Roman"/>
          <w:b/>
          <w:sz w:val="28"/>
        </w:rPr>
        <w:t>Endnotes</w:t>
      </w:r>
    </w:p>
    <w:sectPr w:rsidR="00E216C8" w:rsidRPr="00E216C8" w:rsidSect="00BA2F2F">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115" w:rsidRDefault="00026115" w:rsidP="002A37E4">
      <w:r>
        <w:separator/>
      </w:r>
    </w:p>
  </w:endnote>
  <w:endnote w:type="continuationSeparator" w:id="0">
    <w:p w:rsidR="00026115" w:rsidRDefault="00026115" w:rsidP="002A37E4">
      <w:r>
        <w:continuationSeparator/>
      </w:r>
    </w:p>
  </w:endnote>
  <w:endnote w:id="1">
    <w:p w:rsidR="00881EEC" w:rsidRDefault="00881EEC">
      <w:pPr>
        <w:pStyle w:val="EndnoteText"/>
        <w:rPr>
          <w:rFonts w:ascii="Times New Roman" w:hAnsi="Times New Roman"/>
          <w:sz w:val="24"/>
        </w:rPr>
      </w:pPr>
      <w:r>
        <w:rPr>
          <w:rStyle w:val="EndnoteReference"/>
        </w:rPr>
        <w:endnoteRef/>
      </w:r>
      <w:r>
        <w:t xml:space="preserve"> </w:t>
      </w:r>
      <w:r w:rsidRPr="00881EEC">
        <w:rPr>
          <w:rFonts w:ascii="Times New Roman" w:hAnsi="Times New Roman"/>
          <w:b/>
          <w:sz w:val="24"/>
        </w:rPr>
        <w:t xml:space="preserve">First </w:t>
      </w:r>
      <w:r w:rsidRPr="00DE13A1">
        <w:rPr>
          <w:rFonts w:ascii="Times New Roman" w:hAnsi="Times New Roman"/>
          <w:b/>
          <w:sz w:val="24"/>
        </w:rPr>
        <w:t>argument against protection applying</w:t>
      </w:r>
      <w:r>
        <w:rPr>
          <w:rFonts w:ascii="Times New Roman" w:hAnsi="Times New Roman"/>
          <w:b/>
          <w:sz w:val="24"/>
        </w:rPr>
        <w:t xml:space="preserve">: </w:t>
      </w:r>
      <w:r>
        <w:rPr>
          <w:rFonts w:ascii="Times New Roman" w:hAnsi="Times New Roman"/>
          <w:sz w:val="24"/>
        </w:rPr>
        <w:t>It has been suggested that the words “as the case may require” are flexible so as to allow the Council to choose whichever calculation method it thinks appropriate having regard in particular to the policy intention.  Thus, so the argument goes, the Council is free to take the view that the extension of pre-1996 protection to social tenants is clearly an unintentional quirk of drafting</w:t>
      </w:r>
      <w:r w:rsidR="00442F32">
        <w:rPr>
          <w:rFonts w:ascii="Times New Roman" w:hAnsi="Times New Roman"/>
          <w:sz w:val="24"/>
        </w:rPr>
        <w:t xml:space="preserve"> and to conclude that the case “requires” a maximum rent (social sector) determination under principal Reg 12BA </w:t>
      </w:r>
      <w:r w:rsidR="00442F32">
        <w:rPr>
          <w:rFonts w:ascii="Times New Roman" w:hAnsi="Times New Roman"/>
          <w:i/>
          <w:sz w:val="24"/>
        </w:rPr>
        <w:t>et seq.</w:t>
      </w:r>
      <w:r w:rsidR="00442F32">
        <w:rPr>
          <w:rFonts w:ascii="Times New Roman" w:hAnsi="Times New Roman"/>
          <w:sz w:val="24"/>
        </w:rPr>
        <w:t xml:space="preserve"> </w:t>
      </w:r>
      <w:r w:rsidR="00442F32">
        <w:rPr>
          <w:rFonts w:ascii="Times New Roman" w:hAnsi="Times New Roman"/>
          <w:b/>
          <w:sz w:val="24"/>
        </w:rPr>
        <w:t xml:space="preserve">My answer to this argument: </w:t>
      </w:r>
      <w:r>
        <w:rPr>
          <w:rFonts w:ascii="Times New Roman" w:hAnsi="Times New Roman"/>
          <w:sz w:val="24"/>
        </w:rPr>
        <w:t>I disagree.  These words first appeared in the definition of eligible rent from April 2008, when LHA was implemented nationally</w:t>
      </w:r>
      <w:r w:rsidR="00442F32">
        <w:rPr>
          <w:rFonts w:ascii="Times New Roman" w:hAnsi="Times New Roman"/>
          <w:sz w:val="24"/>
        </w:rPr>
        <w:t>.  The reason was that there were now so many different alternative eligible rent calculation methods that a clear definition was required in order to ensure that the assessment sets off down the correct path from the start and in particular to guarantee that protected pre-1996 cases remain protected.  As far as I can see, where the claimant satisfies para 4 of Schedule 3 to the CP Regs then the case “requires” the eligible rent always to be calculated under para 5 of that Schedule</w:t>
      </w:r>
    </w:p>
    <w:p w:rsidR="00442F32" w:rsidRPr="00881EEC" w:rsidRDefault="00442F32">
      <w:pPr>
        <w:pStyle w:val="EndnoteText"/>
      </w:pPr>
    </w:p>
  </w:endnote>
  <w:endnote w:id="2">
    <w:p w:rsidR="00881EEC" w:rsidRDefault="00881EEC">
      <w:pPr>
        <w:pStyle w:val="EndnoteText"/>
        <w:rPr>
          <w:rFonts w:ascii="Times New Roman" w:hAnsi="Times New Roman"/>
          <w:sz w:val="24"/>
        </w:rPr>
      </w:pPr>
      <w:r w:rsidRPr="00DE13A1">
        <w:rPr>
          <w:rStyle w:val="EndnoteReference"/>
          <w:rFonts w:ascii="Times New Roman" w:hAnsi="Times New Roman"/>
          <w:sz w:val="24"/>
        </w:rPr>
        <w:endnoteRef/>
      </w:r>
      <w:r w:rsidRPr="00DE13A1">
        <w:rPr>
          <w:rFonts w:ascii="Times New Roman" w:hAnsi="Times New Roman"/>
          <w:sz w:val="24"/>
        </w:rPr>
        <w:t xml:space="preserve"> </w:t>
      </w:r>
      <w:r>
        <w:rPr>
          <w:rFonts w:ascii="Times New Roman" w:hAnsi="Times New Roman"/>
          <w:b/>
          <w:sz w:val="24"/>
        </w:rPr>
        <w:t>Second</w:t>
      </w:r>
      <w:r w:rsidRPr="00DE13A1">
        <w:rPr>
          <w:rFonts w:ascii="Times New Roman" w:hAnsi="Times New Roman"/>
          <w:b/>
          <w:sz w:val="24"/>
        </w:rPr>
        <w:t xml:space="preserve"> argument against protection applying:</w:t>
      </w:r>
      <w:r>
        <w:rPr>
          <w:rFonts w:ascii="Times New Roman" w:hAnsi="Times New Roman"/>
          <w:b/>
          <w:sz w:val="24"/>
        </w:rPr>
        <w:t xml:space="preserve"> </w:t>
      </w:r>
      <w:r>
        <w:rPr>
          <w:rFonts w:ascii="Times New Roman" w:hAnsi="Times New Roman"/>
          <w:sz w:val="24"/>
        </w:rPr>
        <w:t xml:space="preserve">Paragraph 11 of Schedule 7 to the Social Security Administration Act 1992 says that Regulations do not have to be referred to the Social Security Advisory Committee if they merely consolidate existing provisions.  It has been suggested that the Consequential Provisions Regs cannot therefore confer any new protection on claimants because they were passed without referral to SSAC.  </w:t>
      </w:r>
      <w:r w:rsidRPr="00DE13A1">
        <w:rPr>
          <w:rFonts w:ascii="Times New Roman" w:hAnsi="Times New Roman"/>
          <w:b/>
          <w:sz w:val="24"/>
        </w:rPr>
        <w:t>My answer to this argument</w:t>
      </w:r>
      <w:r w:rsidRPr="00DE13A1">
        <w:rPr>
          <w:rFonts w:ascii="Times New Roman" w:hAnsi="Times New Roman"/>
          <w:sz w:val="24"/>
        </w:rPr>
        <w:t>:</w:t>
      </w:r>
      <w:r>
        <w:rPr>
          <w:rFonts w:ascii="Times New Roman" w:hAnsi="Times New Roman"/>
          <w:sz w:val="24"/>
        </w:rPr>
        <w:t xml:space="preserve"> the pre-1996 protection applied in exactly the same way under the </w:t>
      </w:r>
      <w:r w:rsidRPr="00DE13A1">
        <w:rPr>
          <w:rFonts w:ascii="Times New Roman" w:hAnsi="Times New Roman"/>
          <w:sz w:val="24"/>
        </w:rPr>
        <w:t>HB (General) Amendment Regs 1995</w:t>
      </w:r>
      <w:r>
        <w:rPr>
          <w:rFonts w:ascii="Times New Roman" w:hAnsi="Times New Roman"/>
          <w:sz w:val="24"/>
        </w:rPr>
        <w:t xml:space="preserve"> – including social sector tenants.  All the CP Regs do is revoke the 1995 Regs and re-make them in a different place – there is no substantive change at all.  Therefore it was perfectly correct to pass the CP Regs without referring them to the SSAC.</w:t>
      </w:r>
    </w:p>
    <w:p w:rsidR="00881EEC" w:rsidRPr="00DE13A1" w:rsidRDefault="00881EEC">
      <w:pPr>
        <w:pStyle w:val="EndnoteText"/>
        <w:rPr>
          <w:rFonts w:ascii="Times New Roman" w:hAnsi="Times New Roman"/>
          <w:sz w:val="24"/>
        </w:rPr>
      </w:pPr>
      <w:r>
        <w:rPr>
          <w:rFonts w:ascii="Times New Roman" w:hAnsi="Times New Roman"/>
          <w:sz w:val="24"/>
        </w:rPr>
        <w:t xml:space="preserve"> </w:t>
      </w:r>
    </w:p>
  </w:endnote>
  <w:endnote w:id="3">
    <w:p w:rsidR="00881EEC" w:rsidRPr="00DE13A1" w:rsidRDefault="00881EEC">
      <w:pPr>
        <w:pStyle w:val="EndnoteText"/>
        <w:rPr>
          <w:rFonts w:ascii="Times New Roman" w:hAnsi="Times New Roman"/>
          <w:sz w:val="24"/>
        </w:rPr>
      </w:pPr>
      <w:r w:rsidRPr="00DE13A1">
        <w:rPr>
          <w:rStyle w:val="EndnoteReference"/>
          <w:rFonts w:ascii="Times New Roman" w:hAnsi="Times New Roman"/>
          <w:sz w:val="24"/>
        </w:rPr>
        <w:endnoteRef/>
      </w:r>
      <w:r>
        <w:rPr>
          <w:rFonts w:ascii="Times New Roman" w:hAnsi="Times New Roman"/>
          <w:b/>
          <w:sz w:val="24"/>
        </w:rPr>
        <w:t>Third</w:t>
      </w:r>
      <w:r w:rsidRPr="00DE13A1">
        <w:rPr>
          <w:rFonts w:ascii="Times New Roman" w:hAnsi="Times New Roman"/>
          <w:b/>
          <w:sz w:val="24"/>
        </w:rPr>
        <w:t xml:space="preserve"> argument against protection applying</w:t>
      </w:r>
      <w:r w:rsidRPr="00DE13A1">
        <w:rPr>
          <w:rFonts w:ascii="Times New Roman" w:hAnsi="Times New Roman"/>
          <w:sz w:val="24"/>
        </w:rPr>
        <w:t xml:space="preserve">: Subpara 4(1) is only engaged at all if the accommodation is exempt accommodation.  This argument relies on the position of the comma in head (b).  </w:t>
      </w:r>
      <w:r w:rsidRPr="00DE13A1">
        <w:rPr>
          <w:rFonts w:ascii="Times New Roman" w:hAnsi="Times New Roman"/>
          <w:b/>
          <w:sz w:val="24"/>
        </w:rPr>
        <w:t>My answer to this argument</w:t>
      </w:r>
      <w:r w:rsidRPr="00DE13A1">
        <w:rPr>
          <w:rFonts w:ascii="Times New Roman" w:hAnsi="Times New Roman"/>
          <w:sz w:val="24"/>
        </w:rPr>
        <w:t>: heads (a) and (b) are quite clearly separate alternative routes to protection.  Limb (a) only applies to those who were getting HB immediately before 1/1/96, whereas limb (b) applies to any exempt accommodation case irrespective of when the claim started.  Although these rules now appear in the HB&amp;CTB (CP) Regs 2006, those are consolidating Regs: the original pre-1996 savings appear in the HB (General) Amendment Regs 1995. The purpose of those Regs was to prevent the new LRR scheme applying to private tenants who were already on HB.  I don’t think there is any ambiguity here at all</w:t>
      </w:r>
    </w:p>
    <w:p w:rsidR="00881EEC" w:rsidRPr="00DE13A1" w:rsidRDefault="00881EEC">
      <w:pPr>
        <w:pStyle w:val="EndnoteText"/>
        <w:rPr>
          <w:rFonts w:ascii="Times New Roman" w:hAnsi="Times New Roman"/>
          <w:sz w:val="24"/>
        </w:rPr>
      </w:pPr>
      <w:r w:rsidRPr="00DE13A1">
        <w:rPr>
          <w:rFonts w:ascii="Times New Roman" w:hAnsi="Times New Roman"/>
          <w:sz w:val="24"/>
        </w:rPr>
        <w:t xml:space="preserve">   </w:t>
      </w:r>
    </w:p>
  </w:endnote>
  <w:endnote w:id="4">
    <w:p w:rsidR="00881EEC" w:rsidRPr="00DE13A1" w:rsidRDefault="00881EEC">
      <w:pPr>
        <w:pStyle w:val="EndnoteText"/>
        <w:rPr>
          <w:rFonts w:ascii="Times New Roman" w:hAnsi="Times New Roman"/>
          <w:sz w:val="24"/>
        </w:rPr>
      </w:pPr>
      <w:r w:rsidRPr="00DE13A1">
        <w:rPr>
          <w:rStyle w:val="EndnoteReference"/>
          <w:rFonts w:ascii="Times New Roman" w:hAnsi="Times New Roman"/>
          <w:sz w:val="24"/>
        </w:rPr>
        <w:endnoteRef/>
      </w:r>
      <w:r w:rsidRPr="00DE13A1">
        <w:rPr>
          <w:rFonts w:ascii="Times New Roman" w:hAnsi="Times New Roman"/>
          <w:sz w:val="24"/>
        </w:rPr>
        <w:t xml:space="preserve"> </w:t>
      </w:r>
      <w:r w:rsidRPr="00DE13A1">
        <w:rPr>
          <w:rFonts w:ascii="Times New Roman" w:hAnsi="Times New Roman"/>
          <w:b/>
          <w:sz w:val="24"/>
        </w:rPr>
        <w:t xml:space="preserve">Subpara (2): </w:t>
      </w:r>
      <w:r w:rsidRPr="00DE13A1">
        <w:rPr>
          <w:rFonts w:ascii="Times New Roman" w:hAnsi="Times New Roman"/>
          <w:sz w:val="24"/>
        </w:rPr>
        <w:t xml:space="preserve">Historical note – </w:t>
      </w:r>
      <w:proofErr w:type="gramStart"/>
      <w:r w:rsidRPr="00DE13A1">
        <w:rPr>
          <w:rFonts w:ascii="Times New Roman" w:hAnsi="Times New Roman"/>
          <w:sz w:val="24"/>
        </w:rPr>
        <w:t>subpara</w:t>
      </w:r>
      <w:proofErr w:type="gramEnd"/>
      <w:r w:rsidRPr="00DE13A1">
        <w:rPr>
          <w:rFonts w:ascii="Times New Roman" w:hAnsi="Times New Roman"/>
          <w:sz w:val="24"/>
        </w:rPr>
        <w:t xml:space="preserve"> (2) was originally inserted as Reg 10(1A) of the 1995 Regs from 2003 when the LHA pilots started.  It was amended to its current wording from April 2008 when LHA rolled out nationally. It must be read alongside Reg 13C of the principal HB Regs.</w:t>
      </w:r>
    </w:p>
    <w:p w:rsidR="00881EEC" w:rsidRPr="00DE13A1" w:rsidRDefault="00881EEC">
      <w:pPr>
        <w:pStyle w:val="EndnoteText"/>
        <w:rPr>
          <w:rFonts w:ascii="Times New Roman" w:hAnsi="Times New Roman"/>
          <w:sz w:val="24"/>
        </w:rPr>
      </w:pPr>
    </w:p>
  </w:endnote>
  <w:endnote w:id="5">
    <w:p w:rsidR="00881EEC" w:rsidRPr="00DE13A1" w:rsidRDefault="00881EEC" w:rsidP="00A02D7E">
      <w:pPr>
        <w:pStyle w:val="EndnoteText"/>
        <w:rPr>
          <w:rFonts w:ascii="Times New Roman" w:hAnsi="Times New Roman"/>
          <w:sz w:val="24"/>
        </w:rPr>
      </w:pPr>
      <w:r w:rsidRPr="00DE13A1">
        <w:rPr>
          <w:rStyle w:val="EndnoteReference"/>
          <w:rFonts w:ascii="Times New Roman" w:hAnsi="Times New Roman"/>
          <w:sz w:val="24"/>
        </w:rPr>
        <w:endnoteRef/>
      </w:r>
      <w:r w:rsidRPr="00DE13A1">
        <w:rPr>
          <w:rFonts w:ascii="Times New Roman" w:hAnsi="Times New Roman"/>
          <w:sz w:val="24"/>
        </w:rPr>
        <w:t xml:space="preserve"> </w:t>
      </w:r>
      <w:r w:rsidRPr="00DE13A1">
        <w:rPr>
          <w:rFonts w:ascii="Times New Roman" w:hAnsi="Times New Roman"/>
          <w:b/>
          <w:sz w:val="24"/>
        </w:rPr>
        <w:t>Subpara (2</w:t>
      </w:r>
      <w:proofErr w:type="gramStart"/>
      <w:r w:rsidRPr="00DE13A1">
        <w:rPr>
          <w:rFonts w:ascii="Times New Roman" w:hAnsi="Times New Roman"/>
          <w:b/>
          <w:sz w:val="24"/>
        </w:rPr>
        <w:t>)(</w:t>
      </w:r>
      <w:proofErr w:type="gramEnd"/>
      <w:r w:rsidRPr="00DE13A1">
        <w:rPr>
          <w:rFonts w:ascii="Times New Roman" w:hAnsi="Times New Roman"/>
          <w:b/>
          <w:sz w:val="24"/>
        </w:rPr>
        <w:t>a) -</w:t>
      </w:r>
      <w:r w:rsidRPr="00DE13A1">
        <w:rPr>
          <w:rFonts w:ascii="Times New Roman" w:hAnsi="Times New Roman"/>
          <w:sz w:val="24"/>
        </w:rPr>
        <w:t xml:space="preserve"> </w:t>
      </w:r>
      <w:r w:rsidRPr="00DE13A1">
        <w:rPr>
          <w:rFonts w:ascii="Times New Roman" w:hAnsi="Times New Roman"/>
          <w:b/>
          <w:sz w:val="24"/>
        </w:rPr>
        <w:t xml:space="preserve">migration to LHA: </w:t>
      </w:r>
      <w:r w:rsidRPr="00DE13A1">
        <w:rPr>
          <w:rFonts w:ascii="Times New Roman" w:hAnsi="Times New Roman"/>
          <w:sz w:val="24"/>
        </w:rPr>
        <w:t xml:space="preserve">A new claim requires an LHA determination by virtue of Reg 13C.  Subpara (2)(a) makes this “trump” the four week linking rules and protection for successors in </w:t>
      </w:r>
      <w:proofErr w:type="spellStart"/>
      <w:r w:rsidRPr="00DE13A1">
        <w:rPr>
          <w:rFonts w:ascii="Times New Roman" w:hAnsi="Times New Roman"/>
          <w:sz w:val="24"/>
        </w:rPr>
        <w:t>subparas</w:t>
      </w:r>
      <w:proofErr w:type="spellEnd"/>
      <w:r w:rsidRPr="00DE13A1">
        <w:rPr>
          <w:rFonts w:ascii="Times New Roman" w:hAnsi="Times New Roman"/>
          <w:sz w:val="24"/>
        </w:rPr>
        <w:t xml:space="preserve"> (3) to (7).  In plain English: if a private tenant currently enjoying pre-1996 protection has any break in claim – even a single week – or dies or splits from their partner, the protection is lost and the case migrates to LHA</w:t>
      </w:r>
    </w:p>
    <w:p w:rsidR="00881EEC" w:rsidRPr="00DE13A1" w:rsidRDefault="00881EEC" w:rsidP="00A02D7E">
      <w:pPr>
        <w:pStyle w:val="EndnoteText"/>
        <w:rPr>
          <w:rFonts w:ascii="Times New Roman" w:hAnsi="Times New Roman"/>
          <w:sz w:val="24"/>
        </w:rPr>
      </w:pPr>
      <w:r w:rsidRPr="00DE13A1">
        <w:rPr>
          <w:rFonts w:ascii="Times New Roman" w:hAnsi="Times New Roman"/>
          <w:sz w:val="24"/>
        </w:rPr>
        <w:t xml:space="preserve"> </w:t>
      </w:r>
    </w:p>
  </w:endnote>
  <w:endnote w:id="6">
    <w:p w:rsidR="00881EEC" w:rsidRPr="00121749" w:rsidRDefault="00881EEC" w:rsidP="00121749">
      <w:pPr>
        <w:pStyle w:val="EndnoteText"/>
        <w:rPr>
          <w:b/>
        </w:rPr>
      </w:pPr>
      <w:r w:rsidRPr="00DE13A1">
        <w:rPr>
          <w:rStyle w:val="EndnoteReference"/>
          <w:rFonts w:ascii="Times New Roman" w:hAnsi="Times New Roman"/>
          <w:sz w:val="24"/>
        </w:rPr>
        <w:endnoteRef/>
      </w:r>
      <w:r w:rsidRPr="00DE13A1">
        <w:rPr>
          <w:rFonts w:ascii="Times New Roman" w:hAnsi="Times New Roman"/>
          <w:sz w:val="24"/>
        </w:rPr>
        <w:t xml:space="preserve"> </w:t>
      </w:r>
      <w:r>
        <w:rPr>
          <w:rFonts w:ascii="Times New Roman" w:hAnsi="Times New Roman"/>
          <w:b/>
          <w:sz w:val="24"/>
        </w:rPr>
        <w:t>Fourth</w:t>
      </w:r>
      <w:r w:rsidRPr="00DE13A1">
        <w:rPr>
          <w:rFonts w:ascii="Times New Roman" w:hAnsi="Times New Roman"/>
          <w:b/>
          <w:sz w:val="24"/>
        </w:rPr>
        <w:t xml:space="preserve"> argument against protection applying: </w:t>
      </w:r>
      <w:r w:rsidRPr="00DE13A1">
        <w:rPr>
          <w:rFonts w:ascii="Times New Roman" w:hAnsi="Times New Roman"/>
          <w:sz w:val="24"/>
        </w:rPr>
        <w:t>Pre-1996 protection only applies to the first determination of eligible rent on or after 1/1/96: it is lost by virtue of subpara (2</w:t>
      </w:r>
      <w:proofErr w:type="gramStart"/>
      <w:r w:rsidRPr="00DE13A1">
        <w:rPr>
          <w:rFonts w:ascii="Times New Roman" w:hAnsi="Times New Roman"/>
          <w:sz w:val="24"/>
        </w:rPr>
        <w:t>)(</w:t>
      </w:r>
      <w:proofErr w:type="gramEnd"/>
      <w:r w:rsidRPr="00DE13A1">
        <w:rPr>
          <w:rFonts w:ascii="Times New Roman" w:hAnsi="Times New Roman"/>
          <w:sz w:val="24"/>
        </w:rPr>
        <w:t xml:space="preserve">b) at the next </w:t>
      </w:r>
      <w:r w:rsidRPr="00DE13A1">
        <w:rPr>
          <w:rFonts w:ascii="Times New Roman" w:hAnsi="Times New Roman"/>
          <w:sz w:val="24"/>
          <w:u w:val="single"/>
        </w:rPr>
        <w:t>subsequent</w:t>
      </w:r>
      <w:r w:rsidRPr="00DE13A1">
        <w:rPr>
          <w:rFonts w:ascii="Times New Roman" w:hAnsi="Times New Roman"/>
          <w:sz w:val="24"/>
        </w:rPr>
        <w:t xml:space="preserve"> determination.  </w:t>
      </w:r>
      <w:r w:rsidRPr="00DE13A1">
        <w:rPr>
          <w:rFonts w:ascii="Times New Roman" w:hAnsi="Times New Roman"/>
          <w:b/>
          <w:sz w:val="24"/>
        </w:rPr>
        <w:t>My answer to this argument</w:t>
      </w:r>
      <w:r w:rsidRPr="00DE13A1">
        <w:rPr>
          <w:rFonts w:ascii="Times New Roman" w:hAnsi="Times New Roman"/>
          <w:sz w:val="24"/>
        </w:rPr>
        <w:t>: I think you have to read this in the context of subpara (2) as a whole (formerly para (1A) of Reg 10 in the 1995 Regs).  It was inserted at the same time as (2</w:t>
      </w:r>
      <w:proofErr w:type="gramStart"/>
      <w:r w:rsidRPr="00DE13A1">
        <w:rPr>
          <w:rFonts w:ascii="Times New Roman" w:hAnsi="Times New Roman"/>
          <w:sz w:val="24"/>
        </w:rPr>
        <w:t>)(</w:t>
      </w:r>
      <w:proofErr w:type="gramEnd"/>
      <w:r w:rsidRPr="00DE13A1">
        <w:rPr>
          <w:rFonts w:ascii="Times New Roman" w:hAnsi="Times New Roman"/>
          <w:sz w:val="24"/>
        </w:rPr>
        <w:t xml:space="preserve">a) and in my opinion it only applies to LHA cases.  The word “subsequent” in (2)(b) </w:t>
      </w:r>
      <w:r>
        <w:rPr>
          <w:rFonts w:ascii="Times New Roman" w:hAnsi="Times New Roman"/>
          <w:sz w:val="24"/>
        </w:rPr>
        <w:t>means subsequent</w:t>
      </w:r>
      <w:r w:rsidRPr="00DE13A1">
        <w:rPr>
          <w:rFonts w:ascii="Times New Roman" w:hAnsi="Times New Roman"/>
          <w:sz w:val="24"/>
        </w:rPr>
        <w:t xml:space="preserve"> to the first LHA determination made as a result of (2)(a) – in plain English it’s a lobster pot, once the case has gone into LHA it stays there.  (2)(b) is necessary because otherwise the linking rules in </w:t>
      </w:r>
      <w:proofErr w:type="spellStart"/>
      <w:r w:rsidRPr="00DE13A1">
        <w:rPr>
          <w:rFonts w:ascii="Times New Roman" w:hAnsi="Times New Roman"/>
          <w:sz w:val="24"/>
        </w:rPr>
        <w:t>subparas</w:t>
      </w:r>
      <w:proofErr w:type="spellEnd"/>
      <w:r w:rsidRPr="00DE13A1">
        <w:rPr>
          <w:rFonts w:ascii="Times New Roman" w:hAnsi="Times New Roman"/>
          <w:sz w:val="24"/>
        </w:rPr>
        <w:t xml:space="preserve"> (3) to (7) would act to reapply the protection as soon as there was, say, a wage increase or uprating etc.</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EEC" w:rsidRDefault="00881EEC" w:rsidP="00412309">
    <w:pPr>
      <w:pStyle w:val="Footer"/>
      <w:rPr>
        <w:sz w:val="20"/>
      </w:rPr>
    </w:pPr>
    <w:r w:rsidRPr="00412309">
      <w:rPr>
        <w:rFonts w:cs="Arial"/>
        <w:sz w:val="20"/>
      </w:rPr>
      <w:t>©</w:t>
    </w:r>
    <w:r w:rsidRPr="00412309">
      <w:rPr>
        <w:sz w:val="20"/>
      </w:rPr>
      <w:t xml:space="preserve"> HB Anorak 2014</w:t>
    </w:r>
    <w:r w:rsidRPr="00412309">
      <w:rPr>
        <w:sz w:val="20"/>
      </w:rPr>
      <w:tab/>
    </w:r>
    <w:r w:rsidRPr="00412309">
      <w:rPr>
        <w:sz w:val="20"/>
      </w:rPr>
      <w:tab/>
      <w:t xml:space="preserve">Eligible rent in pre-1996 cases version </w:t>
    </w:r>
    <w:r w:rsidR="00442F32">
      <w:rPr>
        <w:sz w:val="20"/>
      </w:rPr>
      <w:t>4</w:t>
    </w:r>
  </w:p>
  <w:p w:rsidR="006C1406" w:rsidRPr="00412309" w:rsidRDefault="006C1406" w:rsidP="00412309">
    <w:pPr>
      <w:pStyle w:val="Footer"/>
      <w:rPr>
        <w:sz w:val="20"/>
      </w:rPr>
    </w:pPr>
    <w:r>
      <w:rPr>
        <w:sz w:val="20"/>
      </w:rPr>
      <w:t>www.hbanorak.co.uk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115" w:rsidRDefault="00026115" w:rsidP="002A37E4">
      <w:r>
        <w:separator/>
      </w:r>
    </w:p>
  </w:footnote>
  <w:footnote w:type="continuationSeparator" w:id="0">
    <w:p w:rsidR="00026115" w:rsidRDefault="00026115" w:rsidP="002A37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03C72"/>
    <w:multiLevelType w:val="multilevel"/>
    <w:tmpl w:val="9CBC53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3A371F5B"/>
    <w:multiLevelType w:val="hybridMultilevel"/>
    <w:tmpl w:val="524C8878"/>
    <w:lvl w:ilvl="0" w:tplc="D152B2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BAD77D2"/>
    <w:multiLevelType w:val="multilevel"/>
    <w:tmpl w:val="72D60270"/>
    <w:lvl w:ilvl="0">
      <w:start w:val="1"/>
      <w:numFmt w:val="decimal"/>
      <w:pStyle w:val="Heading1"/>
      <w:lvlText w:val="%1"/>
      <w:lvlJc w:val="left"/>
      <w:pPr>
        <w:tabs>
          <w:tab w:val="num" w:pos="480"/>
        </w:tabs>
        <w:ind w:left="480" w:hanging="480"/>
      </w:pPr>
      <w:rPr>
        <w:rFonts w:ascii="Arial" w:hAnsi="Arial" w:hint="default"/>
        <w:b/>
        <w:i w:val="0"/>
        <w:color w:val="660099"/>
        <w:sz w:val="36"/>
        <w:szCs w:val="36"/>
      </w:rPr>
    </w:lvl>
    <w:lvl w:ilvl="1">
      <w:start w:val="1"/>
      <w:numFmt w:val="decimal"/>
      <w:pStyle w:val="Heading2"/>
      <w:lvlText w:val="%1.%2"/>
      <w:lvlJc w:val="left"/>
      <w:pPr>
        <w:tabs>
          <w:tab w:val="num" w:pos="480"/>
        </w:tabs>
        <w:ind w:left="480" w:hanging="480"/>
      </w:pPr>
      <w:rPr>
        <w:rFonts w:ascii="Arial" w:hAnsi="Arial" w:hint="default"/>
        <w:b/>
        <w:i w:val="0"/>
        <w:sz w:val="28"/>
        <w:szCs w:val="28"/>
      </w:rPr>
    </w:lvl>
    <w:lvl w:ilvl="2">
      <w:start w:val="1"/>
      <w:numFmt w:val="decimal"/>
      <w:pStyle w:val="Heading3"/>
      <w:lvlText w:val="%1.%2.%3"/>
      <w:lvlJc w:val="left"/>
      <w:pPr>
        <w:tabs>
          <w:tab w:val="num" w:pos="1288"/>
        </w:tabs>
        <w:ind w:left="1288" w:hanging="720"/>
      </w:pPr>
      <w:rPr>
        <w:rFonts w:ascii="Arial" w:hAnsi="Arial" w:cs="Arial" w:hint="default"/>
        <w:b/>
        <w:bCs w:val="0"/>
        <w:i/>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
  </w:num>
  <w:num w:numId="2">
    <w:abstractNumId w:val="0"/>
  </w:num>
  <w:num w:numId="3">
    <w:abstractNumId w:val="0"/>
  </w:num>
  <w:num w:numId="4">
    <w:abstractNumId w:val="0"/>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42D96"/>
    <w:rsid w:val="00026115"/>
    <w:rsid w:val="00070C9D"/>
    <w:rsid w:val="000939F1"/>
    <w:rsid w:val="000A766F"/>
    <w:rsid w:val="0011691E"/>
    <w:rsid w:val="00121749"/>
    <w:rsid w:val="00163CD2"/>
    <w:rsid w:val="001667A4"/>
    <w:rsid w:val="00233DE2"/>
    <w:rsid w:val="002625DD"/>
    <w:rsid w:val="002A37E4"/>
    <w:rsid w:val="002B4D74"/>
    <w:rsid w:val="002C5124"/>
    <w:rsid w:val="00412309"/>
    <w:rsid w:val="00442F32"/>
    <w:rsid w:val="00496C9D"/>
    <w:rsid w:val="004D4725"/>
    <w:rsid w:val="005441CE"/>
    <w:rsid w:val="005F37DD"/>
    <w:rsid w:val="00605959"/>
    <w:rsid w:val="006254D0"/>
    <w:rsid w:val="006C1406"/>
    <w:rsid w:val="00721652"/>
    <w:rsid w:val="00774F03"/>
    <w:rsid w:val="007B0E65"/>
    <w:rsid w:val="0082379F"/>
    <w:rsid w:val="00881EEC"/>
    <w:rsid w:val="00885B3B"/>
    <w:rsid w:val="008B1DAA"/>
    <w:rsid w:val="00900238"/>
    <w:rsid w:val="009109B0"/>
    <w:rsid w:val="009415D0"/>
    <w:rsid w:val="00977B5D"/>
    <w:rsid w:val="00986961"/>
    <w:rsid w:val="00A02D7E"/>
    <w:rsid w:val="00B42D96"/>
    <w:rsid w:val="00BA2F2F"/>
    <w:rsid w:val="00BC1334"/>
    <w:rsid w:val="00C27483"/>
    <w:rsid w:val="00D34777"/>
    <w:rsid w:val="00DE13A1"/>
    <w:rsid w:val="00E216C8"/>
    <w:rsid w:val="00EE6C57"/>
    <w:rsid w:val="00F15379"/>
    <w:rsid w:val="00F40202"/>
    <w:rsid w:val="00FD706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_x0000_s1031"/>
        <o:r id="V:Rule6" type="connector" idref="#_x0000_s1027"/>
        <o:r id="V:Rule7" type="connector" idref="#_x0000_s1029"/>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238"/>
    <w:rPr>
      <w:rFonts w:ascii="Arial" w:hAnsi="Arial"/>
      <w:sz w:val="24"/>
      <w:szCs w:val="22"/>
      <w:lang w:eastAsia="en-US"/>
    </w:rPr>
  </w:style>
  <w:style w:type="paragraph" w:styleId="Heading1">
    <w:name w:val="heading 1"/>
    <w:basedOn w:val="ListParagraph"/>
    <w:next w:val="Normal"/>
    <w:link w:val="Heading1Char"/>
    <w:uiPriority w:val="9"/>
    <w:qFormat/>
    <w:rsid w:val="005F37DD"/>
    <w:pPr>
      <w:numPr>
        <w:numId w:val="6"/>
      </w:numPr>
      <w:outlineLvl w:val="0"/>
    </w:pPr>
    <w:rPr>
      <w:b/>
      <w:sz w:val="28"/>
    </w:rPr>
  </w:style>
  <w:style w:type="paragraph" w:styleId="Heading2">
    <w:name w:val="heading 2"/>
    <w:basedOn w:val="Normal"/>
    <w:next w:val="Normal"/>
    <w:link w:val="Heading2Char"/>
    <w:uiPriority w:val="9"/>
    <w:semiHidden/>
    <w:unhideWhenUsed/>
    <w:qFormat/>
    <w:rsid w:val="005F37DD"/>
    <w:pPr>
      <w:keepNext/>
      <w:keepLines/>
      <w:numPr>
        <w:ilvl w:val="1"/>
        <w:numId w:val="6"/>
      </w:numPr>
      <w:spacing w:before="200"/>
      <w:outlineLvl w:val="1"/>
    </w:pPr>
    <w:rPr>
      <w:rFonts w:eastAsia="Times New Roman"/>
      <w:b/>
      <w:bCs/>
      <w:sz w:val="26"/>
      <w:szCs w:val="26"/>
    </w:rPr>
  </w:style>
  <w:style w:type="paragraph" w:styleId="Heading3">
    <w:name w:val="heading 3"/>
    <w:basedOn w:val="Normal"/>
    <w:next w:val="Normal"/>
    <w:link w:val="Heading3Char"/>
    <w:qFormat/>
    <w:rsid w:val="00070C9D"/>
    <w:pPr>
      <w:keepNext/>
      <w:numPr>
        <w:ilvl w:val="2"/>
        <w:numId w:val="6"/>
      </w:numPr>
      <w:spacing w:before="240" w:after="60"/>
      <w:jc w:val="both"/>
      <w:outlineLvl w:val="2"/>
    </w:pPr>
    <w:rPr>
      <w:rFonts w:eastAsia="Times New Roman" w:cs="Arial"/>
      <w:b/>
      <w:bCs/>
      <w:i/>
      <w:szCs w:val="26"/>
      <w:lang w:eastAsia="en-GB"/>
    </w:rPr>
  </w:style>
  <w:style w:type="paragraph" w:styleId="Heading4">
    <w:name w:val="heading 4"/>
    <w:basedOn w:val="Normal"/>
    <w:next w:val="Normal"/>
    <w:link w:val="Heading4Char"/>
    <w:uiPriority w:val="9"/>
    <w:unhideWhenUsed/>
    <w:qFormat/>
    <w:rsid w:val="005F37DD"/>
    <w:pPr>
      <w:keepNext/>
      <w:keepLines/>
      <w:numPr>
        <w:ilvl w:val="3"/>
        <w:numId w:val="5"/>
      </w:numPr>
      <w:spacing w:before="200"/>
      <w:outlineLvl w:val="3"/>
    </w:pPr>
    <w:rPr>
      <w:rFonts w:ascii="Cambria" w:eastAsia="Times New Roman" w:hAnsi="Cambria"/>
      <w:b/>
      <w:bCs/>
      <w:i/>
      <w:i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F37DD"/>
    <w:rPr>
      <w:rFonts w:ascii="Cambria" w:eastAsia="Times New Roman" w:hAnsi="Cambria"/>
      <w:b/>
      <w:bCs/>
      <w:i/>
      <w:iCs/>
      <w:color w:val="000000"/>
      <w:sz w:val="28"/>
    </w:rPr>
  </w:style>
  <w:style w:type="character" w:customStyle="1" w:styleId="Heading1Char">
    <w:name w:val="Heading 1 Char"/>
    <w:basedOn w:val="DefaultParagraphFont"/>
    <w:link w:val="Heading1"/>
    <w:uiPriority w:val="9"/>
    <w:rsid w:val="005F37DD"/>
    <w:rPr>
      <w:rFonts w:ascii="Arial" w:hAnsi="Arial"/>
      <w:b/>
      <w:sz w:val="28"/>
    </w:rPr>
  </w:style>
  <w:style w:type="paragraph" w:styleId="ListParagraph">
    <w:name w:val="List Paragraph"/>
    <w:basedOn w:val="Normal"/>
    <w:uiPriority w:val="34"/>
    <w:qFormat/>
    <w:rsid w:val="005F37DD"/>
    <w:pPr>
      <w:ind w:left="720"/>
      <w:contextualSpacing/>
    </w:pPr>
  </w:style>
  <w:style w:type="character" w:customStyle="1" w:styleId="Heading2Char">
    <w:name w:val="Heading 2 Char"/>
    <w:basedOn w:val="DefaultParagraphFont"/>
    <w:link w:val="Heading2"/>
    <w:uiPriority w:val="9"/>
    <w:semiHidden/>
    <w:rsid w:val="005F37DD"/>
    <w:rPr>
      <w:rFonts w:ascii="Arial" w:eastAsia="Times New Roman" w:hAnsi="Arial" w:cs="Times New Roman"/>
      <w:b/>
      <w:bCs/>
      <w:sz w:val="26"/>
      <w:szCs w:val="26"/>
    </w:rPr>
  </w:style>
  <w:style w:type="character" w:customStyle="1" w:styleId="Heading3Char">
    <w:name w:val="Heading 3 Char"/>
    <w:basedOn w:val="DefaultParagraphFont"/>
    <w:link w:val="Heading3"/>
    <w:rsid w:val="00070C9D"/>
    <w:rPr>
      <w:rFonts w:ascii="Arial" w:eastAsia="Times New Roman" w:hAnsi="Arial" w:cs="Arial"/>
      <w:b/>
      <w:bCs/>
      <w:i/>
      <w:sz w:val="24"/>
      <w:szCs w:val="26"/>
      <w:lang w:eastAsia="en-GB"/>
    </w:rPr>
  </w:style>
  <w:style w:type="paragraph" w:styleId="EndnoteText">
    <w:name w:val="endnote text"/>
    <w:basedOn w:val="Normal"/>
    <w:link w:val="EndnoteTextChar"/>
    <w:uiPriority w:val="99"/>
    <w:unhideWhenUsed/>
    <w:rsid w:val="002A37E4"/>
    <w:rPr>
      <w:sz w:val="20"/>
      <w:szCs w:val="20"/>
    </w:rPr>
  </w:style>
  <w:style w:type="character" w:customStyle="1" w:styleId="EndnoteTextChar">
    <w:name w:val="Endnote Text Char"/>
    <w:basedOn w:val="DefaultParagraphFont"/>
    <w:link w:val="EndnoteText"/>
    <w:uiPriority w:val="99"/>
    <w:rsid w:val="002A37E4"/>
    <w:rPr>
      <w:rFonts w:ascii="Arial" w:hAnsi="Arial"/>
      <w:sz w:val="20"/>
      <w:szCs w:val="20"/>
    </w:rPr>
  </w:style>
  <w:style w:type="character" w:styleId="EndnoteReference">
    <w:name w:val="endnote reference"/>
    <w:basedOn w:val="DefaultParagraphFont"/>
    <w:uiPriority w:val="99"/>
    <w:semiHidden/>
    <w:unhideWhenUsed/>
    <w:rsid w:val="002A37E4"/>
    <w:rPr>
      <w:vertAlign w:val="superscript"/>
    </w:rPr>
  </w:style>
  <w:style w:type="paragraph" w:styleId="Title">
    <w:name w:val="Title"/>
    <w:basedOn w:val="Normal"/>
    <w:next w:val="Normal"/>
    <w:link w:val="TitleChar"/>
    <w:uiPriority w:val="10"/>
    <w:qFormat/>
    <w:rsid w:val="0012174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21749"/>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semiHidden/>
    <w:unhideWhenUsed/>
    <w:rsid w:val="00412309"/>
    <w:pPr>
      <w:tabs>
        <w:tab w:val="center" w:pos="4513"/>
        <w:tab w:val="right" w:pos="9026"/>
      </w:tabs>
    </w:pPr>
  </w:style>
  <w:style w:type="character" w:customStyle="1" w:styleId="HeaderChar">
    <w:name w:val="Header Char"/>
    <w:basedOn w:val="DefaultParagraphFont"/>
    <w:link w:val="Header"/>
    <w:uiPriority w:val="99"/>
    <w:semiHidden/>
    <w:rsid w:val="00412309"/>
    <w:rPr>
      <w:rFonts w:ascii="Arial" w:hAnsi="Arial"/>
      <w:sz w:val="24"/>
    </w:rPr>
  </w:style>
  <w:style w:type="paragraph" w:styleId="Footer">
    <w:name w:val="footer"/>
    <w:basedOn w:val="Normal"/>
    <w:link w:val="FooterChar"/>
    <w:uiPriority w:val="99"/>
    <w:semiHidden/>
    <w:unhideWhenUsed/>
    <w:rsid w:val="00412309"/>
    <w:pPr>
      <w:tabs>
        <w:tab w:val="center" w:pos="4513"/>
        <w:tab w:val="right" w:pos="9026"/>
      </w:tabs>
    </w:pPr>
  </w:style>
  <w:style w:type="character" w:customStyle="1" w:styleId="FooterChar">
    <w:name w:val="Footer Char"/>
    <w:basedOn w:val="DefaultParagraphFont"/>
    <w:link w:val="Footer"/>
    <w:uiPriority w:val="99"/>
    <w:semiHidden/>
    <w:rsid w:val="00412309"/>
    <w:rPr>
      <w:rFonts w:ascii="Arial" w:hAnsi="Arial"/>
      <w:sz w:val="24"/>
    </w:rPr>
  </w:style>
  <w:style w:type="character" w:styleId="PlaceholderText">
    <w:name w:val="Placeholder Text"/>
    <w:basedOn w:val="DefaultParagraphFont"/>
    <w:uiPriority w:val="99"/>
    <w:semiHidden/>
    <w:rsid w:val="00412309"/>
    <w:rPr>
      <w:color w:val="808080"/>
    </w:rPr>
  </w:style>
  <w:style w:type="paragraph" w:styleId="BalloonText">
    <w:name w:val="Balloon Text"/>
    <w:basedOn w:val="Normal"/>
    <w:link w:val="BalloonTextChar"/>
    <w:uiPriority w:val="99"/>
    <w:semiHidden/>
    <w:unhideWhenUsed/>
    <w:rsid w:val="00412309"/>
    <w:rPr>
      <w:rFonts w:ascii="Tahoma" w:hAnsi="Tahoma" w:cs="Tahoma"/>
      <w:sz w:val="16"/>
      <w:szCs w:val="16"/>
    </w:rPr>
  </w:style>
  <w:style w:type="character" w:customStyle="1" w:styleId="BalloonTextChar">
    <w:name w:val="Balloon Text Char"/>
    <w:basedOn w:val="DefaultParagraphFont"/>
    <w:link w:val="BalloonText"/>
    <w:uiPriority w:val="99"/>
    <w:semiHidden/>
    <w:rsid w:val="004123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92A95-FCC5-4E47-98B6-4986FAC0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4</cp:revision>
  <dcterms:created xsi:type="dcterms:W3CDTF">2014-01-07T17:23:00Z</dcterms:created>
  <dcterms:modified xsi:type="dcterms:W3CDTF">2014-01-07T17:37:00Z</dcterms:modified>
</cp:coreProperties>
</file>