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2"/>
      </w:tblGrid>
      <w:tr w:rsidR="00032D1E" w:rsidRPr="006A1A1C" w:rsidTr="007E7EF9">
        <w:tc>
          <w:tcPr>
            <w:tcW w:w="9242" w:type="dxa"/>
          </w:tcPr>
          <w:p w:rsidR="00032D1E" w:rsidRPr="006A1A1C" w:rsidRDefault="00032D1E" w:rsidP="007E7EF9">
            <w:pPr>
              <w:jc w:val="center"/>
              <w:rPr>
                <w:rFonts w:ascii="Tahoma" w:hAnsi="Tahoma" w:cs="Tahoma"/>
                <w:b/>
                <w:sz w:val="32"/>
                <w:szCs w:val="32"/>
              </w:rPr>
            </w:pPr>
          </w:p>
          <w:p w:rsidR="00032D1E" w:rsidRPr="006A1A1C" w:rsidRDefault="00032D1E" w:rsidP="007E7EF9">
            <w:pPr>
              <w:jc w:val="center"/>
              <w:rPr>
                <w:rFonts w:ascii="Tahoma" w:hAnsi="Tahoma" w:cs="Tahoma"/>
                <w:b/>
                <w:sz w:val="32"/>
                <w:szCs w:val="32"/>
              </w:rPr>
            </w:pPr>
          </w:p>
          <w:p w:rsidR="00032D1E" w:rsidRPr="006A1A1C" w:rsidRDefault="00032D1E" w:rsidP="007E7EF9">
            <w:pPr>
              <w:jc w:val="center"/>
              <w:rPr>
                <w:rFonts w:ascii="Tahoma" w:hAnsi="Tahoma" w:cs="Tahoma"/>
                <w:b/>
                <w:sz w:val="40"/>
                <w:szCs w:val="32"/>
              </w:rPr>
            </w:pPr>
            <w:r w:rsidRPr="006A1A1C">
              <w:rPr>
                <w:rFonts w:ascii="Tahoma" w:hAnsi="Tahoma" w:cs="Tahoma"/>
                <w:b/>
                <w:sz w:val="40"/>
                <w:szCs w:val="32"/>
              </w:rPr>
              <w:t>Decision Maker’s response to an</w:t>
            </w:r>
          </w:p>
          <w:p w:rsidR="00032D1E" w:rsidRPr="006A1A1C" w:rsidRDefault="00032D1E" w:rsidP="007E7EF9">
            <w:pPr>
              <w:jc w:val="center"/>
              <w:rPr>
                <w:rFonts w:ascii="Tahoma" w:hAnsi="Tahoma" w:cs="Tahoma"/>
                <w:b/>
                <w:sz w:val="40"/>
                <w:szCs w:val="32"/>
              </w:rPr>
            </w:pPr>
            <w:r w:rsidRPr="006A1A1C">
              <w:rPr>
                <w:rFonts w:ascii="Tahoma" w:hAnsi="Tahoma" w:cs="Tahoma"/>
                <w:b/>
                <w:sz w:val="40"/>
                <w:szCs w:val="32"/>
              </w:rPr>
              <w:t>appeal to the First-tier Tribunal</w:t>
            </w:r>
          </w:p>
          <w:p w:rsidR="00032D1E" w:rsidRPr="006A1A1C" w:rsidRDefault="00032D1E" w:rsidP="007E7EF9">
            <w:pPr>
              <w:jc w:val="center"/>
              <w:rPr>
                <w:rFonts w:ascii="Tahoma" w:hAnsi="Tahoma" w:cs="Tahoma"/>
                <w:i/>
                <w:color w:val="000000"/>
                <w:kern w:val="36"/>
                <w:lang/>
              </w:rPr>
            </w:pPr>
            <w:r w:rsidRPr="006A1A1C">
              <w:rPr>
                <w:rFonts w:ascii="Tahoma" w:hAnsi="Tahoma" w:cs="Tahoma"/>
                <w:i/>
              </w:rPr>
              <w:t xml:space="preserve">Rule 24 of the </w:t>
            </w:r>
            <w:r w:rsidRPr="006A1A1C">
              <w:rPr>
                <w:rFonts w:ascii="Tahoma" w:hAnsi="Tahoma" w:cs="Tahoma"/>
                <w:i/>
                <w:color w:val="000000"/>
                <w:kern w:val="36"/>
                <w:lang/>
              </w:rPr>
              <w:t>Tribunal Procedure (First-tier Tribunal) (Social Entitlement Chamber) Rules 2008</w:t>
            </w:r>
          </w:p>
          <w:p w:rsidR="00032D1E" w:rsidRPr="006A1A1C" w:rsidRDefault="00032D1E" w:rsidP="007E7EF9">
            <w:pPr>
              <w:jc w:val="center"/>
              <w:rPr>
                <w:rFonts w:ascii="Tahoma" w:hAnsi="Tahoma" w:cs="Tahoma"/>
                <w:i/>
                <w:color w:val="000000"/>
                <w:kern w:val="36"/>
                <w:lang/>
              </w:rPr>
            </w:pPr>
          </w:p>
          <w:p w:rsidR="00032D1E" w:rsidRPr="006A1A1C" w:rsidRDefault="00032D1E" w:rsidP="007E7EF9">
            <w:pPr>
              <w:jc w:val="center"/>
              <w:rPr>
                <w:rFonts w:ascii="Tahoma" w:hAnsi="Tahoma" w:cs="Tahoma"/>
                <w:b/>
                <w:i/>
                <w:sz w:val="32"/>
                <w:szCs w:val="32"/>
              </w:rPr>
            </w:pPr>
          </w:p>
        </w:tc>
      </w:tr>
      <w:tr w:rsidR="00032D1E" w:rsidRPr="006A1A1C" w:rsidTr="007E7EF9">
        <w:tc>
          <w:tcPr>
            <w:tcW w:w="9242" w:type="dxa"/>
          </w:tcPr>
          <w:p w:rsidR="00032D1E" w:rsidRPr="006A1A1C" w:rsidRDefault="00032D1E" w:rsidP="007E7EF9">
            <w:pPr>
              <w:jc w:val="center"/>
              <w:rPr>
                <w:rFonts w:ascii="Tahoma" w:hAnsi="Tahoma" w:cs="Tahoma"/>
                <w:b/>
              </w:rPr>
            </w:pPr>
          </w:p>
        </w:tc>
      </w:tr>
      <w:tr w:rsidR="00032D1E" w:rsidRPr="006A1A1C" w:rsidTr="007E7EF9">
        <w:tc>
          <w:tcPr>
            <w:tcW w:w="9242" w:type="dxa"/>
          </w:tcPr>
          <w:p w:rsidR="00A753E1" w:rsidRDefault="00A753E1" w:rsidP="00A753E1">
            <w:pPr>
              <w:jc w:val="center"/>
              <w:rPr>
                <w:rFonts w:ascii="Tahoma" w:hAnsi="Tahoma" w:cs="Tahoma"/>
                <w:b/>
                <w:sz w:val="36"/>
                <w:szCs w:val="32"/>
              </w:rPr>
            </w:pPr>
            <w:r>
              <w:rPr>
                <w:rFonts w:ascii="Tahoma" w:hAnsi="Tahoma" w:cs="Tahoma"/>
                <w:b/>
                <w:sz w:val="36"/>
                <w:szCs w:val="32"/>
              </w:rPr>
              <w:t>Decision Maker and main r</w:t>
            </w:r>
            <w:r w:rsidRPr="006A1A1C">
              <w:rPr>
                <w:rFonts w:ascii="Tahoma" w:hAnsi="Tahoma" w:cs="Tahoma"/>
                <w:b/>
                <w:sz w:val="36"/>
                <w:szCs w:val="32"/>
              </w:rPr>
              <w:t>espondent:</w:t>
            </w:r>
          </w:p>
          <w:p w:rsidR="00032D1E" w:rsidRPr="006A1A1C" w:rsidRDefault="005A2224" w:rsidP="00A753E1">
            <w:pPr>
              <w:jc w:val="center"/>
              <w:rPr>
                <w:rFonts w:ascii="Tahoma" w:hAnsi="Tahoma" w:cs="Tahoma"/>
                <w:b/>
                <w:sz w:val="36"/>
                <w:szCs w:val="32"/>
              </w:rPr>
            </w:pPr>
            <w:proofErr w:type="spellStart"/>
            <w:r>
              <w:rPr>
                <w:rFonts w:ascii="Tahoma" w:hAnsi="Tahoma" w:cs="Tahoma"/>
                <w:b/>
                <w:sz w:val="36"/>
                <w:szCs w:val="32"/>
              </w:rPr>
              <w:t>Anytown</w:t>
            </w:r>
            <w:proofErr w:type="spellEnd"/>
            <w:r>
              <w:rPr>
                <w:rFonts w:ascii="Tahoma" w:hAnsi="Tahoma" w:cs="Tahoma"/>
                <w:b/>
                <w:sz w:val="36"/>
                <w:szCs w:val="32"/>
              </w:rPr>
              <w:t xml:space="preserve"> </w:t>
            </w:r>
            <w:r w:rsidR="00A753E1" w:rsidRPr="006A1A1C">
              <w:rPr>
                <w:rFonts w:ascii="Tahoma" w:hAnsi="Tahoma" w:cs="Tahoma"/>
                <w:b/>
                <w:sz w:val="36"/>
                <w:szCs w:val="32"/>
              </w:rPr>
              <w:t xml:space="preserve"> Council</w:t>
            </w:r>
            <w:r w:rsidR="00A753E1">
              <w:rPr>
                <w:rFonts w:ascii="Tahoma" w:hAnsi="Tahoma" w:cs="Tahoma"/>
                <w:b/>
                <w:sz w:val="36"/>
                <w:szCs w:val="32"/>
              </w:rPr>
              <w:t xml:space="preserve"> (“The Council”)</w:t>
            </w:r>
          </w:p>
        </w:tc>
      </w:tr>
      <w:tr w:rsidR="00032D1E" w:rsidRPr="006A1A1C" w:rsidTr="007E7EF9">
        <w:tc>
          <w:tcPr>
            <w:tcW w:w="9242" w:type="dxa"/>
          </w:tcPr>
          <w:p w:rsidR="00032D1E" w:rsidRPr="006A1A1C" w:rsidRDefault="00032D1E" w:rsidP="007E7EF9">
            <w:pPr>
              <w:jc w:val="center"/>
              <w:rPr>
                <w:rFonts w:ascii="Tahoma" w:hAnsi="Tahoma" w:cs="Tahoma"/>
                <w:b/>
              </w:rPr>
            </w:pPr>
          </w:p>
        </w:tc>
      </w:tr>
      <w:tr w:rsidR="00032D1E" w:rsidRPr="006A1A1C" w:rsidTr="007E7EF9">
        <w:tc>
          <w:tcPr>
            <w:tcW w:w="9242" w:type="dxa"/>
          </w:tcPr>
          <w:p w:rsidR="00032D1E" w:rsidRPr="006A1A1C" w:rsidRDefault="00032D1E" w:rsidP="007E7EF9">
            <w:pPr>
              <w:jc w:val="center"/>
              <w:rPr>
                <w:rFonts w:ascii="Tahoma" w:hAnsi="Tahoma" w:cs="Tahoma"/>
                <w:b/>
              </w:rPr>
            </w:pPr>
            <w:r w:rsidRPr="006A1A1C">
              <w:rPr>
                <w:rFonts w:ascii="Tahoma" w:hAnsi="Tahoma" w:cs="Tahoma"/>
                <w:b/>
              </w:rPr>
              <w:t>Revenues and Benefits Service</w:t>
            </w:r>
          </w:p>
          <w:p w:rsidR="00032D1E" w:rsidRPr="006A1A1C" w:rsidRDefault="00032D1E" w:rsidP="007E7EF9">
            <w:pPr>
              <w:jc w:val="center"/>
              <w:rPr>
                <w:rFonts w:ascii="Tahoma" w:hAnsi="Tahoma" w:cs="Tahoma"/>
                <w:b/>
              </w:rPr>
            </w:pPr>
            <w:r w:rsidRPr="006A1A1C">
              <w:rPr>
                <w:rFonts w:ascii="Tahoma" w:hAnsi="Tahoma" w:cs="Tahoma"/>
                <w:b/>
              </w:rPr>
              <w:t>PO Box 695</w:t>
            </w:r>
          </w:p>
          <w:p w:rsidR="00032D1E" w:rsidRPr="006A1A1C" w:rsidRDefault="005A2224" w:rsidP="007E7EF9">
            <w:pPr>
              <w:jc w:val="center"/>
              <w:rPr>
                <w:rFonts w:ascii="Tahoma" w:hAnsi="Tahoma" w:cs="Tahoma"/>
                <w:b/>
              </w:rPr>
            </w:pPr>
            <w:proofErr w:type="spellStart"/>
            <w:r>
              <w:rPr>
                <w:rFonts w:ascii="Tahoma" w:hAnsi="Tahoma" w:cs="Tahoma"/>
                <w:b/>
              </w:rPr>
              <w:t>Anytown</w:t>
            </w:r>
            <w:proofErr w:type="spellEnd"/>
          </w:p>
          <w:p w:rsidR="00032D1E" w:rsidRPr="006A1A1C" w:rsidRDefault="005A2224" w:rsidP="007E7EF9">
            <w:pPr>
              <w:jc w:val="center"/>
              <w:rPr>
                <w:rFonts w:ascii="Tahoma" w:hAnsi="Tahoma" w:cs="Tahoma"/>
                <w:b/>
              </w:rPr>
            </w:pPr>
            <w:r>
              <w:rPr>
                <w:rFonts w:ascii="Tahoma" w:hAnsi="Tahoma" w:cs="Tahoma"/>
                <w:b/>
              </w:rPr>
              <w:t>AT1 1</w:t>
            </w:r>
            <w:r w:rsidR="00032D1E" w:rsidRPr="006A1A1C">
              <w:rPr>
                <w:rFonts w:ascii="Tahoma" w:hAnsi="Tahoma" w:cs="Tahoma"/>
                <w:b/>
              </w:rPr>
              <w:t>A</w:t>
            </w:r>
            <w:r>
              <w:rPr>
                <w:rFonts w:ascii="Tahoma" w:hAnsi="Tahoma" w:cs="Tahoma"/>
                <w:b/>
              </w:rPr>
              <w:t>T</w:t>
            </w:r>
          </w:p>
          <w:p w:rsidR="00032D1E" w:rsidRPr="006A1A1C" w:rsidRDefault="00032D1E" w:rsidP="007E7EF9">
            <w:pPr>
              <w:jc w:val="center"/>
              <w:rPr>
                <w:rFonts w:ascii="Tahoma" w:hAnsi="Tahoma" w:cs="Tahoma"/>
                <w:i/>
              </w:rPr>
            </w:pPr>
            <w:r w:rsidRPr="006A1A1C">
              <w:rPr>
                <w:rFonts w:ascii="Tahoma" w:hAnsi="Tahoma" w:cs="Tahoma"/>
                <w:i/>
              </w:rPr>
              <w:t>This is also the address for service of documents in accordance with Rule 24(2)(c)</w:t>
            </w:r>
          </w:p>
          <w:p w:rsidR="00032D1E" w:rsidRPr="006A1A1C" w:rsidRDefault="00032D1E" w:rsidP="007E7EF9">
            <w:pPr>
              <w:jc w:val="center"/>
              <w:rPr>
                <w:rFonts w:ascii="Tahoma" w:hAnsi="Tahoma" w:cs="Tahoma"/>
              </w:rPr>
            </w:pPr>
          </w:p>
          <w:p w:rsidR="00032D1E" w:rsidRPr="006A1A1C" w:rsidRDefault="00032D1E" w:rsidP="007E7EF9">
            <w:pPr>
              <w:jc w:val="center"/>
              <w:rPr>
                <w:rFonts w:ascii="Tahoma" w:hAnsi="Tahoma" w:cs="Tahoma"/>
              </w:rPr>
            </w:pPr>
          </w:p>
          <w:p w:rsidR="00032D1E" w:rsidRPr="006A1A1C" w:rsidRDefault="00032D1E" w:rsidP="007E7EF9">
            <w:pPr>
              <w:jc w:val="center"/>
              <w:rPr>
                <w:rFonts w:ascii="Tahoma" w:hAnsi="Tahoma" w:cs="Tahoma"/>
              </w:rPr>
            </w:pPr>
          </w:p>
        </w:tc>
      </w:tr>
      <w:tr w:rsidR="00AA57BE" w:rsidRPr="006A1A1C" w:rsidTr="00483439">
        <w:tc>
          <w:tcPr>
            <w:tcW w:w="9242" w:type="dxa"/>
          </w:tcPr>
          <w:p w:rsidR="00AA57BE" w:rsidRPr="006A1A1C" w:rsidRDefault="00AA57BE" w:rsidP="005A2224">
            <w:pPr>
              <w:rPr>
                <w:rFonts w:ascii="Tahoma" w:hAnsi="Tahoma" w:cs="Tahoma"/>
                <w:szCs w:val="28"/>
              </w:rPr>
            </w:pPr>
            <w:r w:rsidRPr="006A1A1C">
              <w:rPr>
                <w:rFonts w:ascii="Tahoma" w:hAnsi="Tahoma" w:cs="Tahoma"/>
                <w:b/>
                <w:szCs w:val="28"/>
              </w:rPr>
              <w:t>Appeal by:</w:t>
            </w:r>
            <w:r w:rsidRPr="006A1A1C">
              <w:rPr>
                <w:rFonts w:ascii="Tahoma" w:hAnsi="Tahoma" w:cs="Tahoma"/>
                <w:szCs w:val="28"/>
              </w:rPr>
              <w:t xml:space="preserve"> </w:t>
            </w:r>
            <w:r>
              <w:rPr>
                <w:rFonts w:ascii="Tahoma" w:hAnsi="Tahoma" w:cs="Tahoma"/>
                <w:szCs w:val="28"/>
              </w:rPr>
              <w:t xml:space="preserve">Mr </w:t>
            </w:r>
            <w:proofErr w:type="spellStart"/>
            <w:r>
              <w:rPr>
                <w:rFonts w:ascii="Tahoma" w:hAnsi="Tahoma" w:cs="Tahoma"/>
                <w:szCs w:val="28"/>
              </w:rPr>
              <w:t>S</w:t>
            </w:r>
            <w:r w:rsidR="001825A0">
              <w:rPr>
                <w:rFonts w:ascii="Tahoma" w:hAnsi="Tahoma" w:cs="Tahoma"/>
                <w:szCs w:val="28"/>
              </w:rPr>
              <w:t>urjit</w:t>
            </w:r>
            <w:proofErr w:type="spellEnd"/>
            <w:r>
              <w:rPr>
                <w:rFonts w:ascii="Tahoma" w:hAnsi="Tahoma" w:cs="Tahoma"/>
                <w:szCs w:val="28"/>
              </w:rPr>
              <w:t xml:space="preserve"> </w:t>
            </w:r>
            <w:r w:rsidR="00277584">
              <w:rPr>
                <w:rFonts w:ascii="Tahoma" w:hAnsi="Tahoma" w:cs="Tahoma"/>
                <w:szCs w:val="28"/>
              </w:rPr>
              <w:t>Barker</w:t>
            </w:r>
            <w:r>
              <w:rPr>
                <w:rFonts w:ascii="Tahoma" w:hAnsi="Tahoma" w:cs="Tahoma"/>
                <w:szCs w:val="28"/>
              </w:rPr>
              <w:t xml:space="preserve">, 1 </w:t>
            </w:r>
            <w:r w:rsidR="005A2224">
              <w:rPr>
                <w:rFonts w:ascii="Tahoma" w:hAnsi="Tahoma" w:cs="Tahoma"/>
                <w:szCs w:val="28"/>
              </w:rPr>
              <w:t>Any</w:t>
            </w:r>
            <w:r>
              <w:rPr>
                <w:rFonts w:ascii="Tahoma" w:hAnsi="Tahoma" w:cs="Tahoma"/>
                <w:szCs w:val="28"/>
              </w:rPr>
              <w:t xml:space="preserve"> Drive, </w:t>
            </w:r>
            <w:r w:rsidR="005A2224">
              <w:rPr>
                <w:rFonts w:ascii="Tahoma" w:hAnsi="Tahoma" w:cs="Tahoma"/>
                <w:szCs w:val="28"/>
              </w:rPr>
              <w:t>AT</w:t>
            </w:r>
            <w:r>
              <w:rPr>
                <w:rFonts w:ascii="Tahoma" w:hAnsi="Tahoma" w:cs="Tahoma"/>
                <w:szCs w:val="28"/>
              </w:rPr>
              <w:t>5 0HZ</w:t>
            </w:r>
            <w:r w:rsidRPr="006A1A1C">
              <w:rPr>
                <w:rFonts w:ascii="Tahoma" w:hAnsi="Tahoma" w:cs="Tahoma"/>
                <w:szCs w:val="28"/>
              </w:rPr>
              <w:t xml:space="preserve"> </w:t>
            </w:r>
          </w:p>
        </w:tc>
      </w:tr>
      <w:tr w:rsidR="00AA57BE" w:rsidRPr="006A1A1C" w:rsidTr="00483439">
        <w:tc>
          <w:tcPr>
            <w:tcW w:w="9242" w:type="dxa"/>
          </w:tcPr>
          <w:p w:rsidR="00AA57BE" w:rsidRPr="006A1A1C" w:rsidRDefault="00AA57BE" w:rsidP="00483439">
            <w:pPr>
              <w:jc w:val="center"/>
              <w:rPr>
                <w:rFonts w:ascii="Tahoma" w:hAnsi="Tahoma" w:cs="Tahoma"/>
                <w:sz w:val="32"/>
                <w:szCs w:val="32"/>
              </w:rPr>
            </w:pPr>
          </w:p>
        </w:tc>
      </w:tr>
      <w:tr w:rsidR="001D5111" w:rsidRPr="00AA57BE" w:rsidTr="00483439">
        <w:tc>
          <w:tcPr>
            <w:tcW w:w="9242" w:type="dxa"/>
          </w:tcPr>
          <w:p w:rsidR="00AA57BE" w:rsidRPr="00AA57BE" w:rsidRDefault="001D5111" w:rsidP="005E520B">
            <w:pPr>
              <w:ind w:left="2410" w:hanging="2410"/>
              <w:rPr>
                <w:rFonts w:ascii="Tahoma" w:hAnsi="Tahoma" w:cs="Tahoma"/>
              </w:rPr>
            </w:pPr>
            <w:r w:rsidRPr="00AA57BE">
              <w:rPr>
                <w:rFonts w:ascii="Tahoma" w:hAnsi="Tahoma" w:cs="Tahoma"/>
                <w:b/>
                <w:szCs w:val="32"/>
              </w:rPr>
              <w:t xml:space="preserve">Second respondent: </w:t>
            </w:r>
            <w:r w:rsidRPr="00AA57BE">
              <w:rPr>
                <w:rFonts w:ascii="Tahoma" w:hAnsi="Tahoma" w:cs="Tahoma"/>
                <w:szCs w:val="32"/>
              </w:rPr>
              <w:t xml:space="preserve">Paul </w:t>
            </w:r>
            <w:r w:rsidR="005A2224">
              <w:rPr>
                <w:rFonts w:ascii="Tahoma" w:hAnsi="Tahoma" w:cs="Tahoma"/>
                <w:szCs w:val="32"/>
              </w:rPr>
              <w:t>Hall</w:t>
            </w:r>
            <w:r w:rsidRPr="00AA57BE">
              <w:rPr>
                <w:rFonts w:ascii="Tahoma" w:hAnsi="Tahoma" w:cs="Tahoma"/>
                <w:szCs w:val="32"/>
              </w:rPr>
              <w:t xml:space="preserve"> (claimant)</w:t>
            </w:r>
            <w:r w:rsidR="00AA57BE" w:rsidRPr="00AA57BE">
              <w:rPr>
                <w:rFonts w:ascii="Tahoma" w:hAnsi="Tahoma" w:cs="Tahoma"/>
              </w:rPr>
              <w:t xml:space="preserve"> 33 </w:t>
            </w:r>
            <w:r w:rsidR="005A2224">
              <w:rPr>
                <w:rFonts w:ascii="Tahoma" w:hAnsi="Tahoma" w:cs="Tahoma"/>
              </w:rPr>
              <w:t>Any</w:t>
            </w:r>
            <w:r w:rsidR="00AA57BE" w:rsidRPr="00AA57BE">
              <w:rPr>
                <w:rFonts w:ascii="Tahoma" w:hAnsi="Tahoma" w:cs="Tahoma"/>
              </w:rPr>
              <w:t xml:space="preserve"> Gardens</w:t>
            </w:r>
            <w:r w:rsidR="00AA57BE">
              <w:rPr>
                <w:rFonts w:ascii="Tahoma" w:hAnsi="Tahoma" w:cs="Tahoma"/>
              </w:rPr>
              <w:t xml:space="preserve">, </w:t>
            </w:r>
            <w:proofErr w:type="spellStart"/>
            <w:r w:rsidR="005A2224">
              <w:rPr>
                <w:rFonts w:ascii="Tahoma" w:hAnsi="Tahoma" w:cs="Tahoma"/>
              </w:rPr>
              <w:t>Anytown</w:t>
            </w:r>
            <w:proofErr w:type="spellEnd"/>
            <w:r w:rsidR="00AA57BE">
              <w:rPr>
                <w:rFonts w:ascii="Tahoma" w:hAnsi="Tahoma" w:cs="Tahoma"/>
              </w:rPr>
              <w:t xml:space="preserve">, </w:t>
            </w:r>
            <w:r w:rsidR="005A2224">
              <w:rPr>
                <w:rFonts w:ascii="Tahoma" w:hAnsi="Tahoma" w:cs="Tahoma"/>
              </w:rPr>
              <w:t>AT</w:t>
            </w:r>
            <w:r w:rsidR="00AA57BE" w:rsidRPr="00AA57BE">
              <w:rPr>
                <w:rFonts w:ascii="Tahoma" w:hAnsi="Tahoma" w:cs="Tahoma"/>
              </w:rPr>
              <w:t>5 2JD</w:t>
            </w:r>
            <w:r w:rsidR="005E520B">
              <w:rPr>
                <w:rFonts w:ascii="Tahoma" w:hAnsi="Tahoma" w:cs="Tahoma"/>
              </w:rPr>
              <w:t xml:space="preserve">, formerly of 16 </w:t>
            </w:r>
            <w:r w:rsidR="005A2224">
              <w:rPr>
                <w:rFonts w:ascii="Tahoma" w:hAnsi="Tahoma" w:cs="Tahoma"/>
              </w:rPr>
              <w:t>Any</w:t>
            </w:r>
            <w:r w:rsidR="005E520B">
              <w:rPr>
                <w:rFonts w:ascii="Tahoma" w:hAnsi="Tahoma" w:cs="Tahoma"/>
              </w:rPr>
              <w:t xml:space="preserve"> St, </w:t>
            </w:r>
            <w:proofErr w:type="spellStart"/>
            <w:r w:rsidR="005A2224">
              <w:rPr>
                <w:rFonts w:ascii="Tahoma" w:hAnsi="Tahoma" w:cs="Tahoma"/>
              </w:rPr>
              <w:t>Anytown</w:t>
            </w:r>
            <w:proofErr w:type="spellEnd"/>
            <w:r w:rsidR="005E520B">
              <w:rPr>
                <w:rFonts w:ascii="Tahoma" w:hAnsi="Tahoma" w:cs="Tahoma"/>
              </w:rPr>
              <w:t xml:space="preserve">, </w:t>
            </w:r>
            <w:r w:rsidR="005A2224">
              <w:rPr>
                <w:rFonts w:ascii="Tahoma" w:hAnsi="Tahoma" w:cs="Tahoma"/>
              </w:rPr>
              <w:t>AT</w:t>
            </w:r>
            <w:r w:rsidR="005E520B">
              <w:rPr>
                <w:rFonts w:ascii="Tahoma" w:hAnsi="Tahoma" w:cs="Tahoma"/>
              </w:rPr>
              <w:t xml:space="preserve">2 0JZ </w:t>
            </w:r>
          </w:p>
          <w:p w:rsidR="001D5111" w:rsidRPr="00AA57BE" w:rsidRDefault="001D5111" w:rsidP="001D5111">
            <w:pPr>
              <w:jc w:val="center"/>
              <w:rPr>
                <w:rFonts w:ascii="Tahoma" w:hAnsi="Tahoma" w:cs="Tahoma"/>
                <w:b/>
                <w:szCs w:val="32"/>
              </w:rPr>
            </w:pPr>
          </w:p>
        </w:tc>
      </w:tr>
      <w:tr w:rsidR="00032D1E" w:rsidRPr="006A1A1C" w:rsidTr="007E7EF9">
        <w:tc>
          <w:tcPr>
            <w:tcW w:w="9242" w:type="dxa"/>
          </w:tcPr>
          <w:p w:rsidR="00032D1E" w:rsidRPr="006A1A1C" w:rsidRDefault="00032D1E" w:rsidP="007E7EF9">
            <w:pPr>
              <w:rPr>
                <w:rFonts w:ascii="Tahoma" w:hAnsi="Tahoma" w:cs="Tahoma"/>
                <w:b/>
                <w:sz w:val="28"/>
                <w:szCs w:val="28"/>
              </w:rPr>
            </w:pPr>
            <w:r w:rsidRPr="006A1A1C">
              <w:rPr>
                <w:rFonts w:ascii="Tahoma" w:hAnsi="Tahoma" w:cs="Tahoma"/>
                <w:b/>
                <w:sz w:val="28"/>
                <w:szCs w:val="28"/>
              </w:rPr>
              <w:t>Brief details of the case</w:t>
            </w:r>
          </w:p>
          <w:p w:rsidR="00032D1E" w:rsidRPr="006A1A1C" w:rsidRDefault="00032D1E" w:rsidP="007E7EF9">
            <w:pPr>
              <w:rPr>
                <w:rFonts w:ascii="Tahoma" w:hAnsi="Tahoma" w:cs="Tahoma"/>
              </w:rPr>
            </w:pPr>
          </w:p>
          <w:p w:rsidR="00C052D5" w:rsidRPr="006A1A1C" w:rsidRDefault="00A753E1" w:rsidP="001D5111">
            <w:pPr>
              <w:rPr>
                <w:rFonts w:ascii="Tahoma" w:hAnsi="Tahoma" w:cs="Tahoma"/>
              </w:rPr>
            </w:pPr>
            <w:r>
              <w:rPr>
                <w:rFonts w:ascii="Tahoma" w:hAnsi="Tahoma" w:cs="Tahoma"/>
                <w:sz w:val="22"/>
              </w:rPr>
              <w:t xml:space="preserve">The Council has decided that an overpayment of Housing Benefit amounting to £754.29 is recoverable from Mr </w:t>
            </w:r>
            <w:r w:rsidR="00277584">
              <w:rPr>
                <w:rFonts w:ascii="Tahoma" w:hAnsi="Tahoma" w:cs="Tahoma"/>
                <w:sz w:val="22"/>
              </w:rPr>
              <w:t>Barker</w:t>
            </w:r>
            <w:r>
              <w:rPr>
                <w:rFonts w:ascii="Tahoma" w:hAnsi="Tahoma" w:cs="Tahoma"/>
                <w:sz w:val="22"/>
              </w:rPr>
              <w:t xml:space="preserve"> and his former tenant Mr </w:t>
            </w:r>
            <w:r w:rsidR="005A2224">
              <w:rPr>
                <w:rFonts w:ascii="Tahoma" w:hAnsi="Tahoma" w:cs="Tahoma"/>
                <w:sz w:val="22"/>
              </w:rPr>
              <w:t>Hall</w:t>
            </w:r>
            <w:r>
              <w:rPr>
                <w:rFonts w:ascii="Tahoma" w:hAnsi="Tahoma" w:cs="Tahoma"/>
                <w:sz w:val="22"/>
              </w:rPr>
              <w:t xml:space="preserve"> who, according to the Council’s records, moved out of Mr </w:t>
            </w:r>
            <w:r w:rsidR="00277584">
              <w:rPr>
                <w:rFonts w:ascii="Tahoma" w:hAnsi="Tahoma" w:cs="Tahoma"/>
                <w:sz w:val="22"/>
              </w:rPr>
              <w:t>Barker</w:t>
            </w:r>
            <w:r>
              <w:rPr>
                <w:rFonts w:ascii="Tahoma" w:hAnsi="Tahoma" w:cs="Tahoma"/>
                <w:sz w:val="22"/>
              </w:rPr>
              <w:t xml:space="preserve">’s property in May 2009.   Mr </w:t>
            </w:r>
            <w:r w:rsidR="00277584">
              <w:rPr>
                <w:rFonts w:ascii="Tahoma" w:hAnsi="Tahoma" w:cs="Tahoma"/>
                <w:sz w:val="22"/>
              </w:rPr>
              <w:t>Barker</w:t>
            </w:r>
            <w:r>
              <w:rPr>
                <w:rFonts w:ascii="Tahoma" w:hAnsi="Tahoma" w:cs="Tahoma"/>
                <w:sz w:val="22"/>
              </w:rPr>
              <w:t xml:space="preserve"> maintains that his tenant remained in occupation throughout the period of the alleged overpayment and was therefore entitled to all of the Housing Benefit paid to Mr </w:t>
            </w:r>
            <w:r w:rsidR="00277584">
              <w:rPr>
                <w:rFonts w:ascii="Tahoma" w:hAnsi="Tahoma" w:cs="Tahoma"/>
                <w:sz w:val="22"/>
              </w:rPr>
              <w:t>Barker</w:t>
            </w:r>
            <w:r>
              <w:rPr>
                <w:rFonts w:ascii="Tahoma" w:hAnsi="Tahoma" w:cs="Tahoma"/>
                <w:sz w:val="22"/>
              </w:rPr>
              <w:t xml:space="preserve"> on his behalf.</w:t>
            </w:r>
          </w:p>
        </w:tc>
      </w:tr>
      <w:tr w:rsidR="00032D1E" w:rsidRPr="006A1A1C" w:rsidTr="007E7EF9">
        <w:tc>
          <w:tcPr>
            <w:tcW w:w="9242" w:type="dxa"/>
          </w:tcPr>
          <w:p w:rsidR="00032D1E" w:rsidRPr="006A1A1C" w:rsidRDefault="00032D1E" w:rsidP="007E7EF9">
            <w:pPr>
              <w:rPr>
                <w:rFonts w:ascii="Tahoma" w:hAnsi="Tahoma" w:cs="Tahoma"/>
                <w:b/>
                <w:sz w:val="32"/>
                <w:szCs w:val="32"/>
              </w:rPr>
            </w:pPr>
          </w:p>
        </w:tc>
      </w:tr>
      <w:tr w:rsidR="00032D1E" w:rsidRPr="006A1A1C" w:rsidTr="007E7EF9">
        <w:tc>
          <w:tcPr>
            <w:tcW w:w="9242" w:type="dxa"/>
          </w:tcPr>
          <w:p w:rsidR="00032D1E" w:rsidRPr="006A1A1C" w:rsidRDefault="00032D1E" w:rsidP="007E7EF9">
            <w:pPr>
              <w:jc w:val="center"/>
              <w:rPr>
                <w:rFonts w:ascii="Tahoma" w:hAnsi="Tahoma" w:cs="Tahoma"/>
                <w:b/>
                <w:sz w:val="32"/>
                <w:szCs w:val="32"/>
              </w:rPr>
            </w:pPr>
            <w:r w:rsidRPr="006A1A1C">
              <w:rPr>
                <w:rFonts w:ascii="Tahoma" w:hAnsi="Tahoma" w:cs="Tahoma"/>
                <w:b/>
                <w:sz w:val="32"/>
                <w:szCs w:val="32"/>
              </w:rPr>
              <w:t>Please refer to the detailed response and relevant documents attached</w:t>
            </w:r>
          </w:p>
        </w:tc>
      </w:tr>
    </w:tbl>
    <w:p w:rsidR="00032D1E" w:rsidRDefault="00032D1E" w:rsidP="00032D1E"/>
    <w:p w:rsidR="00032D1E" w:rsidRDefault="00032D1E" w:rsidP="00032D1E"/>
    <w:p w:rsidR="00032D1E" w:rsidRDefault="00032D1E" w:rsidP="00032D1E"/>
    <w:p w:rsidR="005A2224" w:rsidRDefault="005A2224" w:rsidP="00032D1E"/>
    <w:p w:rsidR="00507CB1" w:rsidRDefault="00507CB1" w:rsidP="00032D1E"/>
    <w:p w:rsidR="00A753E1" w:rsidRDefault="00A753E1" w:rsidP="00032D1E"/>
    <w:p w:rsidR="00A753E1" w:rsidRDefault="00A753E1" w:rsidP="00032D1E"/>
    <w:p w:rsidR="00A753E1" w:rsidRDefault="00A753E1" w:rsidP="00032D1E"/>
    <w:p w:rsidR="00CC19B8" w:rsidRPr="00032D1E" w:rsidRDefault="00032D1E" w:rsidP="00032D1E">
      <w:pPr>
        <w:pStyle w:val="ListParagraph"/>
        <w:numPr>
          <w:ilvl w:val="0"/>
          <w:numId w:val="1"/>
        </w:numPr>
        <w:rPr>
          <w:b/>
          <w:sz w:val="32"/>
        </w:rPr>
      </w:pPr>
      <w:r w:rsidRPr="00032D1E">
        <w:rPr>
          <w:b/>
          <w:sz w:val="32"/>
        </w:rPr>
        <w:lastRenderedPageBreak/>
        <w:t>Personal details</w:t>
      </w:r>
    </w:p>
    <w:p w:rsidR="00032D1E" w:rsidRDefault="00032D1E" w:rsidP="00032D1E">
      <w:pPr>
        <w:rPr>
          <w:b/>
        </w:rPr>
      </w:pPr>
    </w:p>
    <w:p w:rsidR="00032D1E" w:rsidRDefault="00032D1E" w:rsidP="00032D1E">
      <w:pPr>
        <w:pBdr>
          <w:top w:val="single" w:sz="6" w:space="0" w:color="auto"/>
        </w:pBdr>
        <w:rPr>
          <w:rFonts w:ascii="Tahoma" w:hAnsi="Tahoma"/>
          <w:b/>
        </w:rPr>
      </w:pPr>
    </w:p>
    <w:p w:rsidR="00032D1E" w:rsidRDefault="00032D1E" w:rsidP="00032D1E">
      <w:pPr>
        <w:rPr>
          <w:rFonts w:ascii="Tahoma" w:hAnsi="Tahoma"/>
          <w:b/>
        </w:rPr>
      </w:pPr>
      <w:r>
        <w:rPr>
          <w:rFonts w:ascii="Tahoma" w:hAnsi="Tahoma"/>
          <w:b/>
        </w:rPr>
        <w:t>Appellant</w:t>
      </w:r>
    </w:p>
    <w:p w:rsidR="00032D1E" w:rsidRDefault="00032D1E" w:rsidP="00032D1E">
      <w:pPr>
        <w:rPr>
          <w:rFonts w:ascii="Tahoma" w:hAnsi="Tahoma"/>
          <w:b/>
        </w:rPr>
      </w:pPr>
    </w:p>
    <w:tbl>
      <w:tblPr>
        <w:tblW w:w="0" w:type="auto"/>
        <w:tblLayout w:type="fixed"/>
        <w:tblLook w:val="0000"/>
      </w:tblPr>
      <w:tblGrid>
        <w:gridCol w:w="2943"/>
        <w:gridCol w:w="993"/>
        <w:gridCol w:w="4584"/>
      </w:tblGrid>
      <w:tr w:rsidR="00032D1E" w:rsidRPr="006A1A1C" w:rsidTr="007E7EF9">
        <w:tblPrEx>
          <w:tblCellMar>
            <w:top w:w="0" w:type="dxa"/>
            <w:bottom w:w="0" w:type="dxa"/>
          </w:tblCellMar>
        </w:tblPrEx>
        <w:tc>
          <w:tcPr>
            <w:tcW w:w="2943" w:type="dxa"/>
            <w:tcBorders>
              <w:bottom w:val="single" w:sz="6" w:space="0" w:color="auto"/>
            </w:tcBorders>
          </w:tcPr>
          <w:p w:rsidR="00032D1E" w:rsidRPr="006A1A1C" w:rsidRDefault="00032D1E" w:rsidP="007E7EF9">
            <w:r w:rsidRPr="006A1A1C">
              <w:rPr>
                <w:rFonts w:ascii="Tahoma" w:hAnsi="Tahoma"/>
                <w:b/>
                <w:sz w:val="22"/>
              </w:rPr>
              <w:t>Surname</w:t>
            </w:r>
          </w:p>
        </w:tc>
        <w:tc>
          <w:tcPr>
            <w:tcW w:w="993" w:type="dxa"/>
          </w:tcPr>
          <w:p w:rsidR="00032D1E" w:rsidRPr="006A1A1C" w:rsidRDefault="00032D1E" w:rsidP="007E7EF9">
            <w:r w:rsidRPr="006A1A1C">
              <w:rPr>
                <w:rFonts w:ascii="Tahoma" w:hAnsi="Tahoma"/>
                <w:b/>
                <w:sz w:val="22"/>
              </w:rPr>
              <w:t xml:space="preserve"> </w:t>
            </w:r>
          </w:p>
        </w:tc>
        <w:tc>
          <w:tcPr>
            <w:tcW w:w="4584" w:type="dxa"/>
            <w:tcBorders>
              <w:bottom w:val="single" w:sz="6" w:space="0" w:color="auto"/>
            </w:tcBorders>
          </w:tcPr>
          <w:p w:rsidR="00032D1E" w:rsidRPr="006A1A1C" w:rsidRDefault="00032D1E" w:rsidP="007E7EF9">
            <w:r w:rsidRPr="006A1A1C">
              <w:rPr>
                <w:rFonts w:ascii="Tahoma" w:hAnsi="Tahoma"/>
                <w:b/>
                <w:sz w:val="22"/>
              </w:rPr>
              <w:t>Address</w:t>
            </w:r>
          </w:p>
        </w:tc>
      </w:tr>
      <w:tr w:rsidR="00032D1E" w:rsidRPr="006A1A1C" w:rsidTr="007E7EF9">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32D1E" w:rsidRPr="006A1A1C" w:rsidRDefault="00277584" w:rsidP="001825A0">
            <w:pPr>
              <w:rPr>
                <w:rFonts w:ascii="Tahoma" w:hAnsi="Tahoma" w:cs="Tahoma"/>
                <w:b/>
                <w:sz w:val="22"/>
              </w:rPr>
            </w:pPr>
            <w:r>
              <w:rPr>
                <w:rFonts w:ascii="Tahoma" w:hAnsi="Tahoma" w:cs="Tahoma"/>
                <w:b/>
                <w:sz w:val="22"/>
              </w:rPr>
              <w:t>Barker</w:t>
            </w:r>
          </w:p>
        </w:tc>
        <w:tc>
          <w:tcPr>
            <w:tcW w:w="993" w:type="dxa"/>
            <w:tcBorders>
              <w:left w:val="single" w:sz="6" w:space="0" w:color="auto"/>
              <w:right w:val="single" w:sz="6" w:space="0" w:color="auto"/>
            </w:tcBorders>
          </w:tcPr>
          <w:p w:rsidR="00032D1E" w:rsidRPr="006A1A1C" w:rsidRDefault="00032D1E" w:rsidP="007E7EF9">
            <w:pPr>
              <w:rPr>
                <w:rFonts w:ascii="Tahoma" w:hAnsi="Tahoma" w:cs="Tahoma"/>
                <w:b/>
                <w:sz w:val="22"/>
              </w:rPr>
            </w:pPr>
            <w:r w:rsidRPr="006A1A1C">
              <w:rPr>
                <w:rFonts w:ascii="Tahoma" w:hAnsi="Tahoma" w:cs="Tahoma"/>
                <w:b/>
                <w:sz w:val="22"/>
              </w:rPr>
              <w:t xml:space="preserve"> </w:t>
            </w:r>
          </w:p>
        </w:tc>
        <w:tc>
          <w:tcPr>
            <w:tcW w:w="4584" w:type="dxa"/>
            <w:tcBorders>
              <w:top w:val="single" w:sz="6" w:space="0" w:color="auto"/>
              <w:left w:val="single" w:sz="6" w:space="0" w:color="auto"/>
              <w:bottom w:val="single" w:sz="6" w:space="0" w:color="auto"/>
              <w:right w:val="single" w:sz="6" w:space="0" w:color="auto"/>
            </w:tcBorders>
          </w:tcPr>
          <w:p w:rsidR="00032D1E" w:rsidRPr="006A1A1C" w:rsidRDefault="005A2224" w:rsidP="007E7EF9">
            <w:pPr>
              <w:rPr>
                <w:rFonts w:ascii="Tahoma" w:hAnsi="Tahoma" w:cs="Tahoma"/>
                <w:b/>
                <w:sz w:val="22"/>
              </w:rPr>
            </w:pPr>
            <w:r>
              <w:rPr>
                <w:rFonts w:ascii="Tahoma" w:hAnsi="Tahoma" w:cs="Tahoma"/>
                <w:szCs w:val="28"/>
              </w:rPr>
              <w:t>1 Any Drive, AT5 0HZ</w:t>
            </w:r>
          </w:p>
        </w:tc>
      </w:tr>
    </w:tbl>
    <w:p w:rsidR="00032D1E" w:rsidRDefault="00032D1E" w:rsidP="00032D1E">
      <w:pPr>
        <w:rPr>
          <w:rFonts w:ascii="Tahoma" w:hAnsi="Tahoma"/>
          <w:b/>
          <w:sz w:val="22"/>
        </w:rPr>
      </w:pPr>
    </w:p>
    <w:tbl>
      <w:tblPr>
        <w:tblW w:w="0" w:type="auto"/>
        <w:tblLayout w:type="fixed"/>
        <w:tblLook w:val="0000"/>
      </w:tblPr>
      <w:tblGrid>
        <w:gridCol w:w="2943"/>
        <w:gridCol w:w="993"/>
        <w:gridCol w:w="916"/>
        <w:gridCol w:w="917"/>
        <w:gridCol w:w="917"/>
        <w:gridCol w:w="917"/>
        <w:gridCol w:w="917"/>
      </w:tblGrid>
      <w:tr w:rsidR="00032D1E" w:rsidRPr="006A1A1C" w:rsidTr="007E7EF9">
        <w:tblPrEx>
          <w:tblCellMar>
            <w:top w:w="0" w:type="dxa"/>
            <w:bottom w:w="0" w:type="dxa"/>
          </w:tblCellMar>
        </w:tblPrEx>
        <w:trPr>
          <w:cantSplit/>
        </w:trPr>
        <w:tc>
          <w:tcPr>
            <w:tcW w:w="2943" w:type="dxa"/>
            <w:tcBorders>
              <w:bottom w:val="single" w:sz="6" w:space="0" w:color="auto"/>
            </w:tcBorders>
          </w:tcPr>
          <w:p w:rsidR="00032D1E" w:rsidRPr="006A1A1C" w:rsidRDefault="001825A0" w:rsidP="001825A0">
            <w:r>
              <w:rPr>
                <w:rFonts w:ascii="Tahoma" w:hAnsi="Tahoma"/>
                <w:b/>
                <w:sz w:val="22"/>
              </w:rPr>
              <w:t>Other names</w:t>
            </w:r>
          </w:p>
        </w:tc>
        <w:tc>
          <w:tcPr>
            <w:tcW w:w="993" w:type="dxa"/>
          </w:tcPr>
          <w:p w:rsidR="00032D1E" w:rsidRPr="006A1A1C" w:rsidRDefault="00032D1E" w:rsidP="007E7EF9">
            <w:r w:rsidRPr="006A1A1C">
              <w:rPr>
                <w:rFonts w:ascii="Tahoma" w:hAnsi="Tahoma"/>
                <w:b/>
                <w:sz w:val="22"/>
              </w:rPr>
              <w:t xml:space="preserve"> </w:t>
            </w:r>
          </w:p>
        </w:tc>
        <w:tc>
          <w:tcPr>
            <w:tcW w:w="4584" w:type="dxa"/>
            <w:gridSpan w:val="5"/>
            <w:tcBorders>
              <w:bottom w:val="single" w:sz="6" w:space="0" w:color="auto"/>
            </w:tcBorders>
          </w:tcPr>
          <w:p w:rsidR="00032D1E" w:rsidRPr="006A1A1C" w:rsidRDefault="00032D1E" w:rsidP="007E7EF9">
            <w:r w:rsidRPr="006A1A1C">
              <w:rPr>
                <w:rFonts w:ascii="Tahoma" w:hAnsi="Tahoma"/>
                <w:b/>
                <w:sz w:val="22"/>
              </w:rPr>
              <w:t>NINO</w:t>
            </w:r>
          </w:p>
        </w:tc>
      </w:tr>
      <w:tr w:rsidR="00032D1E" w:rsidRPr="006A1A1C" w:rsidTr="007E7EF9">
        <w:tblPrEx>
          <w:tblCellMar>
            <w:top w:w="0" w:type="dxa"/>
            <w:bottom w:w="0" w:type="dxa"/>
          </w:tblCellMar>
        </w:tblPrEx>
        <w:trPr>
          <w:cantSplit/>
        </w:trPr>
        <w:tc>
          <w:tcPr>
            <w:tcW w:w="2943" w:type="dxa"/>
            <w:tcBorders>
              <w:top w:val="single" w:sz="6" w:space="0" w:color="auto"/>
              <w:left w:val="single" w:sz="6" w:space="0" w:color="auto"/>
              <w:bottom w:val="single" w:sz="6" w:space="0" w:color="auto"/>
              <w:right w:val="single" w:sz="6" w:space="0" w:color="auto"/>
            </w:tcBorders>
          </w:tcPr>
          <w:p w:rsidR="00032D1E" w:rsidRPr="006A1A1C" w:rsidRDefault="001825A0" w:rsidP="007E7EF9">
            <w:proofErr w:type="spellStart"/>
            <w:r>
              <w:rPr>
                <w:rFonts w:ascii="Tahoma" w:hAnsi="Tahoma"/>
                <w:b/>
                <w:sz w:val="22"/>
              </w:rPr>
              <w:t>Surjit</w:t>
            </w:r>
            <w:proofErr w:type="spellEnd"/>
          </w:p>
        </w:tc>
        <w:tc>
          <w:tcPr>
            <w:tcW w:w="993" w:type="dxa"/>
            <w:tcBorders>
              <w:left w:val="single" w:sz="6" w:space="0" w:color="auto"/>
              <w:right w:val="single" w:sz="6" w:space="0" w:color="auto"/>
            </w:tcBorders>
          </w:tcPr>
          <w:p w:rsidR="00032D1E" w:rsidRPr="006A1A1C" w:rsidRDefault="00032D1E" w:rsidP="007E7EF9">
            <w:r w:rsidRPr="006A1A1C">
              <w:rPr>
                <w:rFonts w:ascii="Tahoma" w:hAnsi="Tahoma"/>
                <w:b/>
                <w:sz w:val="22"/>
              </w:rPr>
              <w:t xml:space="preserve"> </w:t>
            </w:r>
          </w:p>
        </w:tc>
        <w:tc>
          <w:tcPr>
            <w:tcW w:w="916" w:type="dxa"/>
            <w:tcBorders>
              <w:top w:val="single" w:sz="6" w:space="0" w:color="auto"/>
              <w:left w:val="single" w:sz="6" w:space="0" w:color="auto"/>
              <w:bottom w:val="single" w:sz="6" w:space="0" w:color="auto"/>
              <w:right w:val="single" w:sz="6" w:space="0" w:color="auto"/>
            </w:tcBorders>
          </w:tcPr>
          <w:p w:rsidR="00032D1E" w:rsidRPr="006A1A1C" w:rsidRDefault="001825A0" w:rsidP="007E7EF9">
            <w:r>
              <w:t>N/A</w:t>
            </w:r>
          </w:p>
        </w:tc>
        <w:tc>
          <w:tcPr>
            <w:tcW w:w="917" w:type="dxa"/>
            <w:tcBorders>
              <w:top w:val="single" w:sz="6" w:space="0" w:color="auto"/>
              <w:left w:val="single" w:sz="6" w:space="0" w:color="auto"/>
              <w:bottom w:val="single" w:sz="6" w:space="0" w:color="auto"/>
              <w:right w:val="single" w:sz="6" w:space="0" w:color="auto"/>
            </w:tcBorders>
          </w:tcPr>
          <w:p w:rsidR="00032D1E" w:rsidRPr="006A1A1C" w:rsidRDefault="00032D1E" w:rsidP="007E7EF9"/>
        </w:tc>
        <w:tc>
          <w:tcPr>
            <w:tcW w:w="917" w:type="dxa"/>
            <w:tcBorders>
              <w:top w:val="single" w:sz="6" w:space="0" w:color="auto"/>
              <w:left w:val="single" w:sz="6" w:space="0" w:color="auto"/>
              <w:bottom w:val="single" w:sz="6" w:space="0" w:color="auto"/>
              <w:right w:val="single" w:sz="6" w:space="0" w:color="auto"/>
            </w:tcBorders>
          </w:tcPr>
          <w:p w:rsidR="00032D1E" w:rsidRPr="006A1A1C" w:rsidRDefault="00032D1E" w:rsidP="007E7EF9"/>
        </w:tc>
        <w:tc>
          <w:tcPr>
            <w:tcW w:w="917" w:type="dxa"/>
            <w:tcBorders>
              <w:top w:val="single" w:sz="6" w:space="0" w:color="auto"/>
              <w:left w:val="single" w:sz="6" w:space="0" w:color="auto"/>
              <w:bottom w:val="single" w:sz="6" w:space="0" w:color="auto"/>
              <w:right w:val="single" w:sz="6" w:space="0" w:color="auto"/>
            </w:tcBorders>
          </w:tcPr>
          <w:p w:rsidR="00032D1E" w:rsidRPr="006A1A1C" w:rsidRDefault="00032D1E" w:rsidP="007E7EF9"/>
        </w:tc>
        <w:tc>
          <w:tcPr>
            <w:tcW w:w="917" w:type="dxa"/>
            <w:tcBorders>
              <w:top w:val="single" w:sz="6" w:space="0" w:color="auto"/>
              <w:left w:val="single" w:sz="6" w:space="0" w:color="auto"/>
              <w:bottom w:val="single" w:sz="6" w:space="0" w:color="auto"/>
              <w:right w:val="single" w:sz="6" w:space="0" w:color="auto"/>
            </w:tcBorders>
          </w:tcPr>
          <w:p w:rsidR="00032D1E" w:rsidRPr="006A1A1C" w:rsidRDefault="00032D1E" w:rsidP="007E7EF9"/>
        </w:tc>
      </w:tr>
    </w:tbl>
    <w:p w:rsidR="00032D1E" w:rsidRDefault="00032D1E" w:rsidP="00032D1E">
      <w:pPr>
        <w:rPr>
          <w:rFonts w:ascii="Tahoma" w:hAnsi="Tahoma"/>
          <w:b/>
          <w:sz w:val="22"/>
        </w:rPr>
      </w:pPr>
    </w:p>
    <w:tbl>
      <w:tblPr>
        <w:tblW w:w="0" w:type="auto"/>
        <w:tblLayout w:type="fixed"/>
        <w:tblLook w:val="0000"/>
      </w:tblPr>
      <w:tblGrid>
        <w:gridCol w:w="2943"/>
        <w:gridCol w:w="993"/>
        <w:gridCol w:w="4584"/>
      </w:tblGrid>
      <w:tr w:rsidR="00032D1E" w:rsidRPr="006A1A1C" w:rsidTr="007E7EF9">
        <w:tblPrEx>
          <w:tblCellMar>
            <w:top w:w="0" w:type="dxa"/>
            <w:bottom w:w="0" w:type="dxa"/>
          </w:tblCellMar>
        </w:tblPrEx>
        <w:tc>
          <w:tcPr>
            <w:tcW w:w="2943" w:type="dxa"/>
            <w:tcBorders>
              <w:bottom w:val="single" w:sz="6" w:space="0" w:color="auto"/>
            </w:tcBorders>
          </w:tcPr>
          <w:p w:rsidR="00032D1E" w:rsidRPr="006A1A1C" w:rsidRDefault="00032D1E" w:rsidP="007E7EF9">
            <w:pPr>
              <w:rPr>
                <w:rFonts w:ascii="Tahoma" w:hAnsi="Tahoma"/>
                <w:b/>
                <w:sz w:val="22"/>
              </w:rPr>
            </w:pPr>
            <w:r w:rsidRPr="006A1A1C">
              <w:rPr>
                <w:rFonts w:ascii="Tahoma" w:hAnsi="Tahoma"/>
                <w:b/>
                <w:sz w:val="22"/>
              </w:rPr>
              <w:t xml:space="preserve">Benefit appealed </w:t>
            </w:r>
          </w:p>
          <w:p w:rsidR="00032D1E" w:rsidRPr="006A1A1C" w:rsidRDefault="00E76D2D" w:rsidP="007E7EF9">
            <w:r w:rsidRPr="006A1A1C">
              <w:rPr>
                <w:rFonts w:ascii="Tahoma" w:hAnsi="Tahoma"/>
                <w:b/>
                <w:sz w:val="22"/>
              </w:rPr>
              <w:t>A</w:t>
            </w:r>
            <w:r w:rsidR="00032D1E" w:rsidRPr="006A1A1C">
              <w:rPr>
                <w:rFonts w:ascii="Tahoma" w:hAnsi="Tahoma"/>
                <w:b/>
                <w:sz w:val="22"/>
              </w:rPr>
              <w:t>gainst</w:t>
            </w:r>
          </w:p>
        </w:tc>
        <w:tc>
          <w:tcPr>
            <w:tcW w:w="993" w:type="dxa"/>
          </w:tcPr>
          <w:p w:rsidR="00032D1E" w:rsidRPr="006A1A1C" w:rsidRDefault="00032D1E" w:rsidP="007E7EF9">
            <w:r w:rsidRPr="006A1A1C">
              <w:rPr>
                <w:rFonts w:ascii="Tahoma" w:hAnsi="Tahoma"/>
                <w:b/>
                <w:sz w:val="22"/>
              </w:rPr>
              <w:t xml:space="preserve"> </w:t>
            </w:r>
          </w:p>
        </w:tc>
        <w:tc>
          <w:tcPr>
            <w:tcW w:w="4584" w:type="dxa"/>
            <w:tcBorders>
              <w:bottom w:val="single" w:sz="6" w:space="0" w:color="auto"/>
            </w:tcBorders>
          </w:tcPr>
          <w:p w:rsidR="00032D1E" w:rsidRPr="006A1A1C" w:rsidRDefault="00032D1E" w:rsidP="007E7EF9">
            <w:r w:rsidRPr="006A1A1C">
              <w:rPr>
                <w:rFonts w:ascii="Tahoma" w:hAnsi="Tahoma"/>
                <w:b/>
                <w:sz w:val="22"/>
              </w:rPr>
              <w:t>Other references:</w:t>
            </w:r>
          </w:p>
        </w:tc>
      </w:tr>
      <w:tr w:rsidR="00032D1E" w:rsidRPr="006A1A1C" w:rsidTr="007E7EF9">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32D1E" w:rsidRPr="006A1A1C" w:rsidRDefault="00032D1E" w:rsidP="007E7EF9">
            <w:r w:rsidRPr="006A1A1C">
              <w:rPr>
                <w:rFonts w:ascii="Tahoma" w:hAnsi="Tahoma"/>
                <w:b/>
                <w:sz w:val="22"/>
              </w:rPr>
              <w:t>Housing Benefit only</w:t>
            </w:r>
          </w:p>
        </w:tc>
        <w:tc>
          <w:tcPr>
            <w:tcW w:w="993" w:type="dxa"/>
            <w:tcBorders>
              <w:left w:val="single" w:sz="6" w:space="0" w:color="auto"/>
              <w:right w:val="single" w:sz="6" w:space="0" w:color="auto"/>
            </w:tcBorders>
          </w:tcPr>
          <w:p w:rsidR="00032D1E" w:rsidRPr="006A1A1C" w:rsidRDefault="00032D1E" w:rsidP="007E7EF9">
            <w:r w:rsidRPr="006A1A1C">
              <w:rPr>
                <w:rFonts w:ascii="Tahoma" w:hAnsi="Tahoma"/>
                <w:b/>
                <w:sz w:val="22"/>
              </w:rPr>
              <w:t xml:space="preserve"> </w:t>
            </w:r>
          </w:p>
        </w:tc>
        <w:tc>
          <w:tcPr>
            <w:tcW w:w="4584" w:type="dxa"/>
            <w:tcBorders>
              <w:top w:val="single" w:sz="6" w:space="0" w:color="auto"/>
              <w:left w:val="single" w:sz="6" w:space="0" w:color="auto"/>
              <w:bottom w:val="single" w:sz="6" w:space="0" w:color="auto"/>
              <w:right w:val="single" w:sz="6" w:space="0" w:color="auto"/>
            </w:tcBorders>
          </w:tcPr>
          <w:p w:rsidR="00032D1E" w:rsidRPr="006A1A1C" w:rsidRDefault="00032D1E" w:rsidP="005A2224">
            <w:r w:rsidRPr="006A1A1C">
              <w:rPr>
                <w:rFonts w:ascii="Tahoma" w:hAnsi="Tahoma"/>
                <w:b/>
                <w:sz w:val="22"/>
              </w:rPr>
              <w:t>Council ref 2</w:t>
            </w:r>
            <w:r w:rsidR="005A2224">
              <w:rPr>
                <w:rFonts w:ascii="Tahoma" w:hAnsi="Tahoma"/>
                <w:b/>
                <w:sz w:val="22"/>
              </w:rPr>
              <w:t>34567</w:t>
            </w:r>
          </w:p>
        </w:tc>
      </w:tr>
    </w:tbl>
    <w:p w:rsidR="00032D1E" w:rsidRDefault="00032D1E" w:rsidP="00032D1E">
      <w:pPr>
        <w:rPr>
          <w:rFonts w:ascii="Tahoma" w:hAnsi="Tahoma"/>
          <w:b/>
          <w:sz w:val="22"/>
        </w:rPr>
      </w:pPr>
    </w:p>
    <w:tbl>
      <w:tblPr>
        <w:tblW w:w="0" w:type="auto"/>
        <w:tblLayout w:type="fixed"/>
        <w:tblLook w:val="0000"/>
      </w:tblPr>
      <w:tblGrid>
        <w:gridCol w:w="2660"/>
        <w:gridCol w:w="748"/>
        <w:gridCol w:w="2087"/>
        <w:gridCol w:w="709"/>
        <w:gridCol w:w="2316"/>
      </w:tblGrid>
      <w:tr w:rsidR="00032D1E" w:rsidRPr="006A1A1C" w:rsidTr="007E7EF9">
        <w:tblPrEx>
          <w:tblCellMar>
            <w:top w:w="0" w:type="dxa"/>
            <w:bottom w:w="0" w:type="dxa"/>
          </w:tblCellMar>
        </w:tblPrEx>
        <w:tc>
          <w:tcPr>
            <w:tcW w:w="2660" w:type="dxa"/>
            <w:tcBorders>
              <w:bottom w:val="single" w:sz="6" w:space="0" w:color="auto"/>
            </w:tcBorders>
          </w:tcPr>
          <w:p w:rsidR="00032D1E" w:rsidRPr="006A1A1C" w:rsidRDefault="00032D1E" w:rsidP="007E7EF9">
            <w:r w:rsidRPr="006A1A1C">
              <w:rPr>
                <w:rFonts w:ascii="Tahoma" w:hAnsi="Tahoma"/>
                <w:b/>
                <w:sz w:val="22"/>
              </w:rPr>
              <w:t>Date of decision</w:t>
            </w:r>
          </w:p>
        </w:tc>
        <w:tc>
          <w:tcPr>
            <w:tcW w:w="748" w:type="dxa"/>
          </w:tcPr>
          <w:p w:rsidR="00032D1E" w:rsidRPr="006A1A1C" w:rsidRDefault="00032D1E" w:rsidP="007E7EF9">
            <w:r w:rsidRPr="006A1A1C">
              <w:rPr>
                <w:rFonts w:ascii="Tahoma" w:hAnsi="Tahoma"/>
                <w:b/>
                <w:sz w:val="22"/>
              </w:rPr>
              <w:t xml:space="preserve"> </w:t>
            </w:r>
          </w:p>
        </w:tc>
        <w:tc>
          <w:tcPr>
            <w:tcW w:w="2087" w:type="dxa"/>
            <w:tcBorders>
              <w:bottom w:val="single" w:sz="6" w:space="0" w:color="auto"/>
            </w:tcBorders>
          </w:tcPr>
          <w:p w:rsidR="00032D1E" w:rsidRPr="006A1A1C" w:rsidRDefault="00032D1E" w:rsidP="007E7EF9">
            <w:r w:rsidRPr="006A1A1C">
              <w:rPr>
                <w:rFonts w:ascii="Tahoma" w:hAnsi="Tahoma"/>
                <w:b/>
                <w:sz w:val="22"/>
              </w:rPr>
              <w:t>Date notified</w:t>
            </w:r>
          </w:p>
        </w:tc>
        <w:tc>
          <w:tcPr>
            <w:tcW w:w="709" w:type="dxa"/>
          </w:tcPr>
          <w:p w:rsidR="00032D1E" w:rsidRPr="006A1A1C" w:rsidRDefault="00032D1E" w:rsidP="007E7EF9">
            <w:r w:rsidRPr="006A1A1C">
              <w:rPr>
                <w:rFonts w:ascii="Tahoma" w:hAnsi="Tahoma"/>
                <w:b/>
                <w:sz w:val="22"/>
              </w:rPr>
              <w:t xml:space="preserve"> </w:t>
            </w:r>
          </w:p>
        </w:tc>
        <w:tc>
          <w:tcPr>
            <w:tcW w:w="2316" w:type="dxa"/>
            <w:tcBorders>
              <w:bottom w:val="single" w:sz="6" w:space="0" w:color="auto"/>
            </w:tcBorders>
          </w:tcPr>
          <w:p w:rsidR="00032D1E" w:rsidRPr="006A1A1C" w:rsidRDefault="00032D1E" w:rsidP="007E7EF9">
            <w:r w:rsidRPr="006A1A1C">
              <w:rPr>
                <w:rFonts w:ascii="Tahoma" w:hAnsi="Tahoma"/>
                <w:b/>
                <w:sz w:val="22"/>
              </w:rPr>
              <w:t>Date of appeal</w:t>
            </w:r>
          </w:p>
        </w:tc>
      </w:tr>
      <w:tr w:rsidR="00032D1E" w:rsidRPr="006A1A1C" w:rsidTr="007E7EF9">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32D1E" w:rsidRPr="006A1A1C" w:rsidRDefault="001825A0" w:rsidP="00507CB1">
            <w:r>
              <w:rPr>
                <w:rFonts w:ascii="Tahoma" w:hAnsi="Tahoma"/>
                <w:b/>
                <w:sz w:val="22"/>
              </w:rPr>
              <w:t>20 July 2009</w:t>
            </w:r>
          </w:p>
        </w:tc>
        <w:tc>
          <w:tcPr>
            <w:tcW w:w="748" w:type="dxa"/>
            <w:tcBorders>
              <w:left w:val="single" w:sz="6" w:space="0" w:color="auto"/>
              <w:right w:val="single" w:sz="6" w:space="0" w:color="auto"/>
            </w:tcBorders>
          </w:tcPr>
          <w:p w:rsidR="00032D1E" w:rsidRPr="006A1A1C" w:rsidRDefault="00032D1E" w:rsidP="007E7EF9">
            <w:r w:rsidRPr="006A1A1C">
              <w:rPr>
                <w:rFonts w:ascii="Tahoma" w:hAnsi="Tahoma"/>
                <w:b/>
                <w:sz w:val="22"/>
              </w:rPr>
              <w:t xml:space="preserve"> </w:t>
            </w:r>
          </w:p>
        </w:tc>
        <w:tc>
          <w:tcPr>
            <w:tcW w:w="2087" w:type="dxa"/>
            <w:tcBorders>
              <w:top w:val="single" w:sz="6" w:space="0" w:color="auto"/>
              <w:left w:val="single" w:sz="6" w:space="0" w:color="auto"/>
              <w:bottom w:val="single" w:sz="6" w:space="0" w:color="auto"/>
              <w:right w:val="single" w:sz="6" w:space="0" w:color="auto"/>
            </w:tcBorders>
          </w:tcPr>
          <w:p w:rsidR="00032D1E" w:rsidRPr="006A1A1C" w:rsidRDefault="001825A0" w:rsidP="007E7EF9">
            <w:r>
              <w:rPr>
                <w:rFonts w:ascii="Tahoma" w:hAnsi="Tahoma"/>
                <w:b/>
                <w:sz w:val="22"/>
              </w:rPr>
              <w:t>20 July 2009</w:t>
            </w:r>
          </w:p>
        </w:tc>
        <w:tc>
          <w:tcPr>
            <w:tcW w:w="709" w:type="dxa"/>
            <w:tcBorders>
              <w:left w:val="single" w:sz="6" w:space="0" w:color="auto"/>
              <w:right w:val="single" w:sz="6" w:space="0" w:color="auto"/>
            </w:tcBorders>
          </w:tcPr>
          <w:p w:rsidR="00032D1E" w:rsidRPr="006A1A1C" w:rsidRDefault="00032D1E" w:rsidP="007E7EF9">
            <w:r w:rsidRPr="006A1A1C">
              <w:rPr>
                <w:rFonts w:ascii="Tahoma" w:hAnsi="Tahoma"/>
                <w:b/>
                <w:sz w:val="22"/>
              </w:rPr>
              <w:t xml:space="preserve"> </w:t>
            </w:r>
          </w:p>
        </w:tc>
        <w:tc>
          <w:tcPr>
            <w:tcW w:w="2316" w:type="dxa"/>
            <w:tcBorders>
              <w:top w:val="single" w:sz="6" w:space="0" w:color="auto"/>
              <w:left w:val="single" w:sz="6" w:space="0" w:color="auto"/>
              <w:bottom w:val="single" w:sz="6" w:space="0" w:color="auto"/>
              <w:right w:val="single" w:sz="6" w:space="0" w:color="auto"/>
            </w:tcBorders>
          </w:tcPr>
          <w:p w:rsidR="00032D1E" w:rsidRPr="006A1A1C" w:rsidRDefault="001825A0" w:rsidP="001825A0">
            <w:r>
              <w:rPr>
                <w:rFonts w:ascii="Tahoma" w:hAnsi="Tahoma"/>
                <w:b/>
                <w:sz w:val="22"/>
              </w:rPr>
              <w:t>31</w:t>
            </w:r>
            <w:r w:rsidR="00507CB1">
              <w:rPr>
                <w:rFonts w:ascii="Tahoma" w:hAnsi="Tahoma"/>
                <w:b/>
                <w:sz w:val="22"/>
              </w:rPr>
              <w:t xml:space="preserve"> </w:t>
            </w:r>
            <w:r>
              <w:rPr>
                <w:rFonts w:ascii="Tahoma" w:hAnsi="Tahoma"/>
                <w:b/>
                <w:sz w:val="22"/>
              </w:rPr>
              <w:t>July 2009</w:t>
            </w:r>
          </w:p>
        </w:tc>
      </w:tr>
    </w:tbl>
    <w:p w:rsidR="00032D1E" w:rsidRDefault="00032D1E" w:rsidP="00032D1E">
      <w:pPr>
        <w:rPr>
          <w:rFonts w:ascii="Tahoma" w:hAnsi="Tahoma"/>
          <w:b/>
          <w:sz w:val="22"/>
        </w:rPr>
      </w:pPr>
    </w:p>
    <w:tbl>
      <w:tblPr>
        <w:tblW w:w="0" w:type="auto"/>
        <w:tblLayout w:type="fixed"/>
        <w:tblLook w:val="0000"/>
      </w:tblPr>
      <w:tblGrid>
        <w:gridCol w:w="2943"/>
      </w:tblGrid>
      <w:tr w:rsidR="00032D1E" w:rsidRPr="006A1A1C" w:rsidTr="007E7EF9">
        <w:tblPrEx>
          <w:tblCellMar>
            <w:top w:w="0" w:type="dxa"/>
            <w:bottom w:w="0" w:type="dxa"/>
          </w:tblCellMar>
        </w:tblPrEx>
        <w:tc>
          <w:tcPr>
            <w:tcW w:w="2943" w:type="dxa"/>
            <w:tcBorders>
              <w:bottom w:val="single" w:sz="6" w:space="0" w:color="auto"/>
            </w:tcBorders>
          </w:tcPr>
          <w:p w:rsidR="00032D1E" w:rsidRPr="006A1A1C" w:rsidRDefault="00032D1E" w:rsidP="007E7EF9">
            <w:r w:rsidRPr="006A1A1C">
              <w:rPr>
                <w:rFonts w:ascii="Tahoma" w:hAnsi="Tahoma"/>
                <w:b/>
                <w:sz w:val="22"/>
              </w:rPr>
              <w:t>Date of reconsideration</w:t>
            </w:r>
          </w:p>
        </w:tc>
      </w:tr>
      <w:tr w:rsidR="00032D1E" w:rsidRPr="006A1A1C" w:rsidTr="007E7EF9">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32D1E" w:rsidRPr="006A1A1C" w:rsidRDefault="00507CB1" w:rsidP="007E7EF9">
            <w:r>
              <w:rPr>
                <w:rFonts w:ascii="Tahoma" w:hAnsi="Tahoma"/>
                <w:b/>
                <w:sz w:val="22"/>
              </w:rPr>
              <w:t>10 September</w:t>
            </w:r>
            <w:r w:rsidR="00032D1E" w:rsidRPr="006A1A1C">
              <w:rPr>
                <w:rFonts w:ascii="Tahoma" w:hAnsi="Tahoma"/>
                <w:b/>
                <w:sz w:val="22"/>
              </w:rPr>
              <w:t xml:space="preserve"> 2009</w:t>
            </w:r>
          </w:p>
        </w:tc>
      </w:tr>
    </w:tbl>
    <w:p w:rsidR="00032D1E" w:rsidRDefault="00032D1E" w:rsidP="00032D1E">
      <w:pPr>
        <w:rPr>
          <w:b/>
        </w:rPr>
      </w:pPr>
    </w:p>
    <w:p w:rsidR="00032D1E" w:rsidRDefault="00032D1E" w:rsidP="00032D1E">
      <w:pPr>
        <w:rPr>
          <w:b/>
        </w:rPr>
      </w:pPr>
    </w:p>
    <w:p w:rsidR="00032D1E" w:rsidRDefault="00032D1E" w:rsidP="00032D1E">
      <w:pPr>
        <w:rPr>
          <w:b/>
        </w:rPr>
      </w:pPr>
    </w:p>
    <w:p w:rsidR="00032D1E" w:rsidRPr="00032D1E" w:rsidRDefault="00032D1E" w:rsidP="00032D1E">
      <w:pPr>
        <w:pStyle w:val="ListParagraph"/>
        <w:numPr>
          <w:ilvl w:val="0"/>
          <w:numId w:val="1"/>
        </w:numPr>
        <w:rPr>
          <w:b/>
          <w:sz w:val="32"/>
        </w:rPr>
      </w:pPr>
      <w:r w:rsidRPr="00032D1E">
        <w:rPr>
          <w:b/>
          <w:sz w:val="32"/>
        </w:rPr>
        <w:t>Schedule of evidence</w:t>
      </w:r>
    </w:p>
    <w:p w:rsidR="00032D1E" w:rsidRDefault="00032D1E" w:rsidP="00032D1E"/>
    <w:tbl>
      <w:tblPr>
        <w:tblW w:w="0" w:type="auto"/>
        <w:tblLayout w:type="fixed"/>
        <w:tblLook w:val="0000"/>
      </w:tblPr>
      <w:tblGrid>
        <w:gridCol w:w="1242"/>
        <w:gridCol w:w="1276"/>
        <w:gridCol w:w="1418"/>
        <w:gridCol w:w="1417"/>
        <w:gridCol w:w="3169"/>
      </w:tblGrid>
      <w:tr w:rsidR="00032D1E" w:rsidRPr="00104ABD" w:rsidTr="000E093C">
        <w:tblPrEx>
          <w:tblCellMar>
            <w:top w:w="0" w:type="dxa"/>
            <w:bottom w:w="0" w:type="dxa"/>
          </w:tblCellMar>
        </w:tblPrEx>
        <w:trPr>
          <w:cantSplit/>
          <w:tblHeader/>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0E093C">
            <w:pPr>
              <w:rPr>
                <w:rFonts w:cs="Arial"/>
                <w:b/>
                <w:sz w:val="22"/>
              </w:rPr>
            </w:pPr>
            <w:r w:rsidRPr="00104ABD">
              <w:rPr>
                <w:rFonts w:cs="Arial"/>
                <w:b/>
                <w:i/>
                <w:sz w:val="22"/>
              </w:rPr>
              <w:t>Doc number</w:t>
            </w:r>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pStyle w:val="Heading2"/>
              <w:rPr>
                <w:rFonts w:ascii="Arial" w:hAnsi="Arial" w:cs="Arial"/>
                <w:szCs w:val="22"/>
              </w:rPr>
            </w:pPr>
            <w:r w:rsidRPr="00104ABD">
              <w:rPr>
                <w:rFonts w:ascii="Arial" w:hAnsi="Arial" w:cs="Arial"/>
                <w:i/>
                <w:szCs w:val="22"/>
              </w:rPr>
              <w:t>Pages</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rPr>
                <w:rFonts w:cs="Arial"/>
                <w:b/>
                <w:sz w:val="22"/>
              </w:rPr>
            </w:pPr>
            <w:r w:rsidRPr="00104ABD">
              <w:rPr>
                <w:rFonts w:cs="Arial"/>
                <w:b/>
                <w:i/>
                <w:sz w:val="22"/>
              </w:rPr>
              <w:t>Date of document</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rPr>
                <w:rFonts w:cs="Arial"/>
                <w:b/>
                <w:sz w:val="22"/>
              </w:rPr>
            </w:pPr>
            <w:r w:rsidRPr="00104ABD">
              <w:rPr>
                <w:rFonts w:cs="Arial"/>
                <w:b/>
                <w:i/>
                <w:sz w:val="22"/>
              </w:rPr>
              <w:t>Date of receipt</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rPr>
                <w:rFonts w:cs="Arial"/>
                <w:b/>
                <w:sz w:val="22"/>
              </w:rPr>
            </w:pPr>
            <w:r w:rsidRPr="00104ABD">
              <w:rPr>
                <w:rFonts w:cs="Arial"/>
                <w:b/>
                <w:i/>
                <w:sz w:val="22"/>
              </w:rPr>
              <w:t>Brief description of document</w:t>
            </w:r>
          </w:p>
        </w:tc>
      </w:tr>
      <w:tr w:rsidR="00032D1E"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jc w:val="center"/>
              <w:rPr>
                <w:rFonts w:cs="Arial"/>
                <w:sz w:val="22"/>
              </w:rPr>
            </w:pPr>
            <w:bookmarkStart w:id="0" w:name="_Hlt150049486"/>
            <w:bookmarkStart w:id="1" w:name="_Hlt150050829"/>
            <w:r w:rsidRPr="00104ABD">
              <w:rPr>
                <w:rFonts w:cs="Arial"/>
                <w:sz w:val="22"/>
              </w:rPr>
              <w:t>1</w:t>
            </w:r>
            <w:bookmarkEnd w:id="0"/>
            <w:bookmarkEnd w:id="1"/>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296BA4" w:rsidP="007E7EF9">
            <w:pPr>
              <w:pStyle w:val="DefaultText"/>
              <w:rPr>
                <w:rFonts w:ascii="Arial" w:hAnsi="Arial" w:cs="Arial"/>
                <w:sz w:val="22"/>
                <w:szCs w:val="22"/>
              </w:rPr>
            </w:pPr>
            <w:r>
              <w:rPr>
                <w:rFonts w:ascii="Arial" w:hAnsi="Arial" w:cs="Arial"/>
                <w:sz w:val="22"/>
                <w:szCs w:val="22"/>
              </w:rPr>
              <w:t>10 – 12</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104ABD" w:rsidP="00EA7B12">
            <w:pPr>
              <w:pStyle w:val="DefaultText"/>
              <w:rPr>
                <w:rFonts w:ascii="Arial" w:hAnsi="Arial" w:cs="Arial"/>
                <w:sz w:val="22"/>
                <w:szCs w:val="22"/>
              </w:rPr>
            </w:pPr>
            <w:r w:rsidRPr="00104ABD">
              <w:rPr>
                <w:rFonts w:ascii="Arial" w:hAnsi="Arial" w:cs="Arial"/>
                <w:sz w:val="22"/>
                <w:szCs w:val="22"/>
              </w:rPr>
              <w:t>20 Jul 09</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sidRPr="00104ABD">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104ABD" w:rsidP="00104ABD">
            <w:pPr>
              <w:pStyle w:val="DefaultText"/>
              <w:rPr>
                <w:rFonts w:ascii="Arial" w:hAnsi="Arial" w:cs="Arial"/>
                <w:sz w:val="22"/>
                <w:szCs w:val="22"/>
              </w:rPr>
            </w:pPr>
            <w:r w:rsidRPr="00104ABD">
              <w:rPr>
                <w:rFonts w:ascii="Arial" w:hAnsi="Arial" w:cs="Arial"/>
                <w:sz w:val="22"/>
                <w:szCs w:val="22"/>
              </w:rPr>
              <w:t xml:space="preserve">Original </w:t>
            </w:r>
            <w:r w:rsidR="00E41CF4">
              <w:rPr>
                <w:rFonts w:ascii="Arial" w:hAnsi="Arial" w:cs="Arial"/>
                <w:sz w:val="22"/>
                <w:szCs w:val="22"/>
              </w:rPr>
              <w:t xml:space="preserve">overpayment </w:t>
            </w:r>
            <w:r w:rsidRPr="00104ABD">
              <w:rPr>
                <w:rFonts w:ascii="Arial" w:hAnsi="Arial" w:cs="Arial"/>
                <w:sz w:val="22"/>
                <w:szCs w:val="22"/>
              </w:rPr>
              <w:t xml:space="preserve">decision notice to </w:t>
            </w:r>
            <w:proofErr w:type="spellStart"/>
            <w:r w:rsidRPr="00104ABD">
              <w:rPr>
                <w:rFonts w:ascii="Arial" w:hAnsi="Arial" w:cs="Arial"/>
                <w:sz w:val="22"/>
                <w:szCs w:val="22"/>
              </w:rPr>
              <w:t>Mr</w:t>
            </w:r>
            <w:proofErr w:type="spellEnd"/>
            <w:r>
              <w:rPr>
                <w:rFonts w:ascii="Arial" w:hAnsi="Arial" w:cs="Arial"/>
                <w:sz w:val="22"/>
                <w:szCs w:val="22"/>
              </w:rPr>
              <w:t> </w:t>
            </w:r>
            <w:r w:rsidR="00277584">
              <w:rPr>
                <w:rFonts w:ascii="Arial" w:hAnsi="Arial" w:cs="Arial"/>
                <w:sz w:val="22"/>
                <w:szCs w:val="22"/>
              </w:rPr>
              <w:t>Barker</w:t>
            </w:r>
          </w:p>
        </w:tc>
      </w:tr>
      <w:tr w:rsidR="00032D1E"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jc w:val="center"/>
              <w:rPr>
                <w:rFonts w:cs="Arial"/>
                <w:sz w:val="22"/>
              </w:rPr>
            </w:pPr>
            <w:bookmarkStart w:id="2" w:name="_Hlt150049481"/>
            <w:bookmarkStart w:id="3" w:name="_Hlt150049494"/>
            <w:bookmarkStart w:id="4" w:name="_Hlt150050834"/>
            <w:bookmarkStart w:id="5" w:name="_Hlt165452233"/>
            <w:bookmarkStart w:id="6" w:name="_Hlt165958589"/>
            <w:r w:rsidRPr="00104ABD">
              <w:rPr>
                <w:rFonts w:cs="Arial"/>
                <w:sz w:val="22"/>
              </w:rPr>
              <w:t>2</w:t>
            </w:r>
            <w:bookmarkEnd w:id="2"/>
            <w:bookmarkEnd w:id="3"/>
            <w:bookmarkEnd w:id="4"/>
            <w:bookmarkEnd w:id="5"/>
            <w:bookmarkEnd w:id="6"/>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296BA4" w:rsidP="007E7EF9">
            <w:pPr>
              <w:pStyle w:val="DefaultText"/>
              <w:rPr>
                <w:rFonts w:ascii="Arial" w:hAnsi="Arial" w:cs="Arial"/>
                <w:sz w:val="22"/>
                <w:szCs w:val="22"/>
              </w:rPr>
            </w:pPr>
            <w:r>
              <w:rPr>
                <w:rFonts w:ascii="Arial" w:hAnsi="Arial" w:cs="Arial"/>
                <w:sz w:val="22"/>
                <w:szCs w:val="22"/>
              </w:rPr>
              <w:t>13 – 16</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20 Jul 09</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 xml:space="preserve">Original </w:t>
            </w:r>
            <w:r w:rsidR="00E41CF4">
              <w:rPr>
                <w:rFonts w:ascii="Arial" w:hAnsi="Arial" w:cs="Arial"/>
                <w:sz w:val="22"/>
                <w:szCs w:val="22"/>
              </w:rPr>
              <w:t xml:space="preserve">overpayment </w:t>
            </w:r>
            <w:r>
              <w:rPr>
                <w:rFonts w:ascii="Arial" w:hAnsi="Arial" w:cs="Arial"/>
                <w:sz w:val="22"/>
                <w:szCs w:val="22"/>
              </w:rPr>
              <w:t xml:space="preserve">decision notice to </w:t>
            </w:r>
            <w:proofErr w:type="spellStart"/>
            <w:r>
              <w:rPr>
                <w:rFonts w:ascii="Arial" w:hAnsi="Arial" w:cs="Arial"/>
                <w:sz w:val="22"/>
                <w:szCs w:val="22"/>
              </w:rPr>
              <w:t>Mr</w:t>
            </w:r>
            <w:proofErr w:type="spellEnd"/>
            <w:r>
              <w:rPr>
                <w:rFonts w:ascii="Arial" w:hAnsi="Arial" w:cs="Arial"/>
                <w:sz w:val="22"/>
                <w:szCs w:val="22"/>
              </w:rPr>
              <w:t> </w:t>
            </w:r>
            <w:r w:rsidR="005A2224">
              <w:rPr>
                <w:rFonts w:ascii="Arial" w:hAnsi="Arial" w:cs="Arial"/>
                <w:sz w:val="22"/>
                <w:szCs w:val="22"/>
              </w:rPr>
              <w:t>Hall</w:t>
            </w:r>
          </w:p>
        </w:tc>
      </w:tr>
      <w:tr w:rsidR="00032D1E"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jc w:val="center"/>
              <w:rPr>
                <w:rFonts w:cs="Arial"/>
                <w:sz w:val="22"/>
              </w:rPr>
            </w:pPr>
            <w:bookmarkStart w:id="7" w:name="_Hlt150049471"/>
            <w:bookmarkStart w:id="8" w:name="_Hlt150049472"/>
            <w:bookmarkStart w:id="9" w:name="_Hlt150049473"/>
            <w:bookmarkStart w:id="10" w:name="_Hlt150049520"/>
            <w:bookmarkStart w:id="11" w:name="_Hlt150049564"/>
            <w:bookmarkStart w:id="12" w:name="_Hlt150050837"/>
            <w:bookmarkStart w:id="13" w:name="_Hlt165452254"/>
            <w:bookmarkStart w:id="14" w:name="_Hlt165958849"/>
            <w:r w:rsidRPr="00104ABD">
              <w:rPr>
                <w:rFonts w:cs="Arial"/>
                <w:sz w:val="22"/>
              </w:rPr>
              <w:t>3</w:t>
            </w:r>
            <w:bookmarkEnd w:id="7"/>
            <w:bookmarkEnd w:id="8"/>
            <w:bookmarkEnd w:id="9"/>
            <w:bookmarkEnd w:id="10"/>
            <w:bookmarkEnd w:id="11"/>
            <w:bookmarkEnd w:id="12"/>
            <w:bookmarkEnd w:id="13"/>
            <w:bookmarkEnd w:id="14"/>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296BA4" w:rsidP="007E7EF9">
            <w:pPr>
              <w:pStyle w:val="DefaultText"/>
              <w:rPr>
                <w:rFonts w:ascii="Arial" w:hAnsi="Arial" w:cs="Arial"/>
                <w:sz w:val="22"/>
                <w:szCs w:val="22"/>
              </w:rPr>
            </w:pPr>
            <w:r>
              <w:rPr>
                <w:rFonts w:ascii="Arial" w:hAnsi="Arial" w:cs="Arial"/>
                <w:sz w:val="22"/>
                <w:szCs w:val="22"/>
              </w:rPr>
              <w:t>17 – 20</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10 Sep 09</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 xml:space="preserve">Revised decision notice to </w:t>
            </w:r>
            <w:proofErr w:type="spellStart"/>
            <w:r>
              <w:rPr>
                <w:rFonts w:ascii="Arial" w:hAnsi="Arial" w:cs="Arial"/>
                <w:sz w:val="22"/>
                <w:szCs w:val="22"/>
              </w:rPr>
              <w:t>Mr</w:t>
            </w:r>
            <w:proofErr w:type="spellEnd"/>
            <w:r>
              <w:rPr>
                <w:rFonts w:ascii="Arial" w:hAnsi="Arial" w:cs="Arial"/>
                <w:sz w:val="22"/>
                <w:szCs w:val="22"/>
              </w:rPr>
              <w:t> </w:t>
            </w:r>
            <w:r w:rsidR="005A2224">
              <w:rPr>
                <w:rFonts w:ascii="Arial" w:hAnsi="Arial" w:cs="Arial"/>
                <w:sz w:val="22"/>
                <w:szCs w:val="22"/>
              </w:rPr>
              <w:t>Hall</w:t>
            </w:r>
          </w:p>
        </w:tc>
      </w:tr>
      <w:tr w:rsidR="00032D1E"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jc w:val="center"/>
              <w:rPr>
                <w:rFonts w:cs="Arial"/>
                <w:sz w:val="22"/>
              </w:rPr>
            </w:pPr>
            <w:bookmarkStart w:id="15" w:name="_Hlt150050841"/>
            <w:bookmarkStart w:id="16" w:name="_Hlt165452272"/>
            <w:r w:rsidRPr="00104ABD">
              <w:rPr>
                <w:rFonts w:cs="Arial"/>
                <w:sz w:val="22"/>
              </w:rPr>
              <w:t>4</w:t>
            </w:r>
            <w:bookmarkEnd w:id="15"/>
            <w:bookmarkEnd w:id="16"/>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296BA4" w:rsidP="007E7EF9">
            <w:pPr>
              <w:pStyle w:val="DefaultText"/>
              <w:rPr>
                <w:rFonts w:ascii="Arial" w:hAnsi="Arial" w:cs="Arial"/>
                <w:sz w:val="22"/>
                <w:szCs w:val="22"/>
              </w:rPr>
            </w:pPr>
            <w:r>
              <w:rPr>
                <w:rFonts w:ascii="Arial" w:hAnsi="Arial" w:cs="Arial"/>
                <w:sz w:val="22"/>
                <w:szCs w:val="22"/>
              </w:rPr>
              <w:t>21 – 23</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 xml:space="preserve">Revised decision notice to </w:t>
            </w:r>
            <w:proofErr w:type="spellStart"/>
            <w:r>
              <w:rPr>
                <w:rFonts w:ascii="Arial" w:hAnsi="Arial" w:cs="Arial"/>
                <w:sz w:val="22"/>
                <w:szCs w:val="22"/>
              </w:rPr>
              <w:t>Mr</w:t>
            </w:r>
            <w:proofErr w:type="spellEnd"/>
            <w:r>
              <w:rPr>
                <w:rFonts w:ascii="Arial" w:hAnsi="Arial" w:cs="Arial"/>
                <w:sz w:val="22"/>
                <w:szCs w:val="22"/>
              </w:rPr>
              <w:t> </w:t>
            </w:r>
            <w:r w:rsidR="00277584">
              <w:rPr>
                <w:rFonts w:ascii="Arial" w:hAnsi="Arial" w:cs="Arial"/>
                <w:sz w:val="22"/>
                <w:szCs w:val="22"/>
              </w:rPr>
              <w:t>Barker</w:t>
            </w:r>
          </w:p>
        </w:tc>
      </w:tr>
      <w:tr w:rsidR="00032D1E"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032D1E" w:rsidRPr="00104ABD" w:rsidRDefault="00032D1E" w:rsidP="007E7EF9">
            <w:pPr>
              <w:jc w:val="center"/>
              <w:rPr>
                <w:rFonts w:cs="Arial"/>
                <w:sz w:val="22"/>
              </w:rPr>
            </w:pPr>
            <w:bookmarkStart w:id="17" w:name="_Hlt150050844"/>
            <w:bookmarkStart w:id="18" w:name="_Hlt165452329"/>
            <w:bookmarkEnd w:id="18"/>
            <w:r w:rsidRPr="00104ABD">
              <w:rPr>
                <w:rFonts w:cs="Arial"/>
                <w:sz w:val="22"/>
              </w:rPr>
              <w:t>5</w:t>
            </w:r>
            <w:bookmarkEnd w:id="17"/>
          </w:p>
        </w:tc>
        <w:tc>
          <w:tcPr>
            <w:tcW w:w="1276" w:type="dxa"/>
            <w:tcBorders>
              <w:top w:val="single" w:sz="6" w:space="0" w:color="auto"/>
              <w:left w:val="single" w:sz="6" w:space="0" w:color="auto"/>
              <w:bottom w:val="single" w:sz="6" w:space="0" w:color="auto"/>
              <w:right w:val="single" w:sz="6" w:space="0" w:color="auto"/>
            </w:tcBorders>
          </w:tcPr>
          <w:p w:rsidR="00032D1E" w:rsidRPr="00104ABD" w:rsidRDefault="00296BA4" w:rsidP="007E7EF9">
            <w:pPr>
              <w:pStyle w:val="DefaultText"/>
              <w:rPr>
                <w:rFonts w:ascii="Arial" w:hAnsi="Arial" w:cs="Arial"/>
                <w:sz w:val="22"/>
                <w:szCs w:val="22"/>
              </w:rPr>
            </w:pPr>
            <w:r>
              <w:rPr>
                <w:rFonts w:ascii="Arial" w:hAnsi="Arial" w:cs="Arial"/>
                <w:sz w:val="22"/>
                <w:szCs w:val="22"/>
              </w:rPr>
              <w:t>24 – 26</w:t>
            </w:r>
          </w:p>
        </w:tc>
        <w:tc>
          <w:tcPr>
            <w:tcW w:w="1418"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31 Jul 09</w:t>
            </w:r>
          </w:p>
        </w:tc>
        <w:tc>
          <w:tcPr>
            <w:tcW w:w="1417"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r>
              <w:rPr>
                <w:rFonts w:ascii="Arial" w:hAnsi="Arial" w:cs="Arial"/>
                <w:sz w:val="22"/>
                <w:szCs w:val="22"/>
              </w:rPr>
              <w:t>31 Jul 09</w:t>
            </w:r>
          </w:p>
        </w:tc>
        <w:tc>
          <w:tcPr>
            <w:tcW w:w="3169" w:type="dxa"/>
            <w:tcBorders>
              <w:top w:val="single" w:sz="6" w:space="0" w:color="auto"/>
              <w:left w:val="single" w:sz="6" w:space="0" w:color="auto"/>
              <w:bottom w:val="single" w:sz="6" w:space="0" w:color="auto"/>
              <w:right w:val="single" w:sz="6" w:space="0" w:color="auto"/>
            </w:tcBorders>
          </w:tcPr>
          <w:p w:rsidR="00032D1E" w:rsidRPr="00104ABD" w:rsidRDefault="00104ABD" w:rsidP="007E7EF9">
            <w:pPr>
              <w:pStyle w:val="DefaultText"/>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w:t>
            </w:r>
            <w:r w:rsidR="00277584">
              <w:rPr>
                <w:rFonts w:ascii="Arial" w:hAnsi="Arial" w:cs="Arial"/>
                <w:sz w:val="22"/>
                <w:szCs w:val="22"/>
              </w:rPr>
              <w:t>Barker</w:t>
            </w:r>
            <w:r>
              <w:rPr>
                <w:rFonts w:ascii="Arial" w:hAnsi="Arial" w:cs="Arial"/>
                <w:sz w:val="22"/>
                <w:szCs w:val="22"/>
              </w:rPr>
              <w:t>’s appeal</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19" w:name="_Hlt150050848"/>
            <w:bookmarkStart w:id="20" w:name="_Hlt165452339"/>
            <w:r w:rsidRPr="00104ABD">
              <w:rPr>
                <w:rFonts w:cs="Arial"/>
                <w:sz w:val="22"/>
              </w:rPr>
              <w:t>6</w:t>
            </w:r>
            <w:bookmarkEnd w:id="19"/>
            <w:bookmarkEnd w:id="20"/>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27 – 28</w:t>
            </w:r>
          </w:p>
        </w:tc>
        <w:tc>
          <w:tcPr>
            <w:tcW w:w="1418" w:type="dxa"/>
            <w:tcBorders>
              <w:top w:val="single" w:sz="6" w:space="0" w:color="auto"/>
              <w:left w:val="single" w:sz="6" w:space="0" w:color="auto"/>
              <w:bottom w:val="single" w:sz="6" w:space="0" w:color="auto"/>
              <w:right w:val="single" w:sz="6" w:space="0" w:color="auto"/>
            </w:tcBorders>
          </w:tcPr>
          <w:p w:rsidR="00E41CF4" w:rsidRDefault="00E41CF4" w:rsidP="007E7EF9">
            <w:pPr>
              <w:pStyle w:val="DefaultText"/>
              <w:rPr>
                <w:rFonts w:ascii="Arial" w:hAnsi="Arial" w:cs="Arial"/>
                <w:sz w:val="22"/>
                <w:szCs w:val="22"/>
              </w:rPr>
            </w:pPr>
            <w:r>
              <w:rPr>
                <w:rFonts w:ascii="Arial" w:hAnsi="Arial" w:cs="Arial"/>
                <w:sz w:val="22"/>
                <w:szCs w:val="22"/>
              </w:rPr>
              <w:t>16 Dec 08</w:t>
            </w:r>
          </w:p>
        </w:tc>
        <w:tc>
          <w:tcPr>
            <w:tcW w:w="1417" w:type="dxa"/>
            <w:tcBorders>
              <w:top w:val="single" w:sz="6" w:space="0" w:color="auto"/>
              <w:left w:val="single" w:sz="6" w:space="0" w:color="auto"/>
              <w:bottom w:val="single" w:sz="6" w:space="0" w:color="auto"/>
              <w:right w:val="single" w:sz="6" w:space="0" w:color="auto"/>
            </w:tcBorders>
          </w:tcPr>
          <w:p w:rsidR="00E41CF4" w:rsidRDefault="00E41CF4"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Default="00E41CF4" w:rsidP="00CD0C33">
            <w:pPr>
              <w:pStyle w:val="DefaultText"/>
              <w:rPr>
                <w:rFonts w:ascii="Arial" w:hAnsi="Arial" w:cs="Arial"/>
                <w:sz w:val="22"/>
                <w:szCs w:val="22"/>
              </w:rPr>
            </w:pPr>
            <w:r>
              <w:rPr>
                <w:rFonts w:ascii="Arial" w:hAnsi="Arial" w:cs="Arial"/>
                <w:sz w:val="22"/>
                <w:szCs w:val="22"/>
              </w:rPr>
              <w:t>Original awarding decision</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21" w:name="_Hlt150050851"/>
            <w:bookmarkStart w:id="22" w:name="_Hlt165452358"/>
            <w:r w:rsidRPr="00104ABD">
              <w:rPr>
                <w:rFonts w:cs="Arial"/>
                <w:sz w:val="22"/>
              </w:rPr>
              <w:t>7</w:t>
            </w:r>
            <w:bookmarkEnd w:id="21"/>
            <w:bookmarkEnd w:id="22"/>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29 – 31</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26 Jun 09</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26 Jun 09</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CD0C33">
            <w:pPr>
              <w:pStyle w:val="DefaultText"/>
              <w:rPr>
                <w:rFonts w:ascii="Arial" w:hAnsi="Arial" w:cs="Arial"/>
                <w:sz w:val="22"/>
                <w:szCs w:val="22"/>
              </w:rPr>
            </w:pPr>
            <w:r>
              <w:rPr>
                <w:rFonts w:ascii="Arial" w:hAnsi="Arial" w:cs="Arial"/>
                <w:sz w:val="22"/>
                <w:szCs w:val="22"/>
              </w:rPr>
              <w:t>Electronic notice from DWP</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23" w:name="_Hlt150050856"/>
            <w:bookmarkStart w:id="24" w:name="_Hlt165452382"/>
            <w:r w:rsidRPr="00104ABD">
              <w:rPr>
                <w:rFonts w:cs="Arial"/>
                <w:sz w:val="22"/>
              </w:rPr>
              <w:t>8</w:t>
            </w:r>
            <w:bookmarkEnd w:id="23"/>
            <w:bookmarkEnd w:id="24"/>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32 – 33</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CD0C33">
            <w:pPr>
              <w:pStyle w:val="DefaultText"/>
              <w:rPr>
                <w:rFonts w:ascii="Arial" w:hAnsi="Arial" w:cs="Arial"/>
                <w:sz w:val="22"/>
                <w:szCs w:val="22"/>
              </w:rPr>
            </w:pPr>
            <w:r>
              <w:rPr>
                <w:rFonts w:ascii="Arial" w:hAnsi="Arial" w:cs="Arial"/>
                <w:sz w:val="22"/>
                <w:szCs w:val="22"/>
              </w:rPr>
              <w:t>13 Aug 09</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 xml:space="preserve">Letter to </w:t>
            </w:r>
            <w:proofErr w:type="spellStart"/>
            <w:r>
              <w:rPr>
                <w:rFonts w:ascii="Arial" w:hAnsi="Arial" w:cs="Arial"/>
                <w:sz w:val="22"/>
                <w:szCs w:val="22"/>
              </w:rPr>
              <w:t>Mr</w:t>
            </w:r>
            <w:proofErr w:type="spellEnd"/>
            <w:r>
              <w:rPr>
                <w:rFonts w:ascii="Arial" w:hAnsi="Arial" w:cs="Arial"/>
                <w:sz w:val="22"/>
                <w:szCs w:val="22"/>
              </w:rPr>
              <w:t xml:space="preserve"> </w:t>
            </w:r>
            <w:r w:rsidR="00277584">
              <w:rPr>
                <w:rFonts w:ascii="Arial" w:hAnsi="Arial" w:cs="Arial"/>
                <w:sz w:val="22"/>
                <w:szCs w:val="22"/>
              </w:rPr>
              <w:t>Barker</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25" w:name="_Hlt150050860"/>
            <w:bookmarkStart w:id="26" w:name="_Hlt165452403"/>
            <w:r w:rsidRPr="00104ABD">
              <w:rPr>
                <w:rFonts w:cs="Arial"/>
                <w:sz w:val="22"/>
              </w:rPr>
              <w:t>9</w:t>
            </w:r>
            <w:bookmarkEnd w:id="25"/>
            <w:bookmarkEnd w:id="26"/>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34 – 36</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13 Aug 09</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 xml:space="preserve">Letter to </w:t>
            </w:r>
            <w:proofErr w:type="spellStart"/>
            <w:r>
              <w:rPr>
                <w:rFonts w:ascii="Arial" w:hAnsi="Arial" w:cs="Arial"/>
                <w:sz w:val="22"/>
                <w:szCs w:val="22"/>
              </w:rPr>
              <w:t>Mr</w:t>
            </w:r>
            <w:proofErr w:type="spellEnd"/>
            <w:r>
              <w:rPr>
                <w:rFonts w:ascii="Arial" w:hAnsi="Arial" w:cs="Arial"/>
                <w:sz w:val="22"/>
                <w:szCs w:val="22"/>
              </w:rPr>
              <w:t xml:space="preserve"> </w:t>
            </w:r>
            <w:r w:rsidR="005A2224">
              <w:rPr>
                <w:rFonts w:ascii="Arial" w:hAnsi="Arial" w:cs="Arial"/>
                <w:sz w:val="22"/>
                <w:szCs w:val="22"/>
              </w:rPr>
              <w:t>Hall</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27" w:name="_Hlt150050863"/>
            <w:bookmarkStart w:id="28" w:name="_Hlt165452416"/>
            <w:r w:rsidRPr="00104ABD">
              <w:rPr>
                <w:rFonts w:cs="Arial"/>
                <w:sz w:val="22"/>
              </w:rPr>
              <w:t>10</w:t>
            </w:r>
            <w:bookmarkEnd w:id="27"/>
            <w:bookmarkEnd w:id="28"/>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37 – 40</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D71404">
            <w:pPr>
              <w:pStyle w:val="DefaultText"/>
              <w:rPr>
                <w:rFonts w:ascii="Arial" w:hAnsi="Arial" w:cs="Arial"/>
                <w:sz w:val="22"/>
                <w:szCs w:val="22"/>
              </w:rPr>
            </w:pPr>
            <w:r>
              <w:rPr>
                <w:rFonts w:ascii="Arial" w:hAnsi="Arial" w:cs="Arial"/>
                <w:sz w:val="22"/>
                <w:szCs w:val="22"/>
              </w:rPr>
              <w:t>14 Jul 09</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45714D">
            <w:pPr>
              <w:pStyle w:val="DefaultText"/>
              <w:rPr>
                <w:rFonts w:ascii="Arial" w:hAnsi="Arial" w:cs="Arial"/>
                <w:sz w:val="22"/>
                <w:szCs w:val="22"/>
              </w:rPr>
            </w:pPr>
            <w:r>
              <w:rPr>
                <w:rFonts w:ascii="Arial" w:hAnsi="Arial" w:cs="Arial"/>
                <w:sz w:val="22"/>
                <w:szCs w:val="22"/>
              </w:rPr>
              <w:t>14 Jul 09</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45714D">
            <w:pPr>
              <w:pStyle w:val="DefaultText"/>
              <w:rPr>
                <w:rFonts w:ascii="Arial" w:hAnsi="Arial" w:cs="Arial"/>
                <w:sz w:val="22"/>
                <w:szCs w:val="22"/>
              </w:rPr>
            </w:pPr>
            <w:r>
              <w:rPr>
                <w:rFonts w:ascii="Arial" w:hAnsi="Arial" w:cs="Arial"/>
                <w:sz w:val="22"/>
                <w:szCs w:val="22"/>
              </w:rPr>
              <w:t>Data matching report</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29" w:name="_Hlt150050866"/>
            <w:r w:rsidRPr="00104ABD">
              <w:rPr>
                <w:rFonts w:cs="Arial"/>
                <w:sz w:val="22"/>
              </w:rPr>
              <w:t>11</w:t>
            </w:r>
            <w:bookmarkEnd w:id="29"/>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41 – 42</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862A3A">
            <w:pPr>
              <w:pStyle w:val="DefaultText"/>
              <w:rPr>
                <w:rFonts w:ascii="Arial" w:hAnsi="Arial" w:cs="Arial"/>
                <w:sz w:val="22"/>
                <w:szCs w:val="22"/>
              </w:rPr>
            </w:pPr>
            <w:proofErr w:type="spellStart"/>
            <w:r>
              <w:rPr>
                <w:rFonts w:ascii="Arial" w:hAnsi="Arial" w:cs="Arial"/>
                <w:sz w:val="22"/>
                <w:szCs w:val="22"/>
              </w:rPr>
              <w:t>Conts</w:t>
            </w:r>
            <w:proofErr w:type="spellEnd"/>
            <w:r>
              <w:rPr>
                <w:rFonts w:ascii="Arial" w:hAnsi="Arial" w:cs="Arial"/>
                <w:sz w:val="22"/>
                <w:szCs w:val="22"/>
              </w:rPr>
              <w:t xml:space="preserve"> &amp; Bens Act s130 </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30" w:name="_Hlt150050870"/>
            <w:bookmarkStart w:id="31" w:name="_Hlt165967030"/>
            <w:bookmarkStart w:id="32" w:name="_Hlt165967049"/>
            <w:bookmarkStart w:id="33" w:name="_Hlt165452477"/>
            <w:r w:rsidRPr="00104ABD">
              <w:rPr>
                <w:rFonts w:cs="Arial"/>
                <w:sz w:val="22"/>
              </w:rPr>
              <w:t>12</w:t>
            </w:r>
            <w:bookmarkEnd w:id="30"/>
            <w:bookmarkEnd w:id="31"/>
            <w:bookmarkEnd w:id="32"/>
            <w:bookmarkEnd w:id="33"/>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43 – 44</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862A3A">
            <w:pPr>
              <w:pStyle w:val="DefaultText"/>
              <w:rPr>
                <w:rFonts w:ascii="Arial" w:hAnsi="Arial" w:cs="Arial"/>
                <w:sz w:val="22"/>
                <w:szCs w:val="22"/>
              </w:rPr>
            </w:pPr>
            <w:proofErr w:type="spellStart"/>
            <w:r>
              <w:rPr>
                <w:rFonts w:ascii="Arial" w:hAnsi="Arial" w:cs="Arial"/>
                <w:sz w:val="22"/>
                <w:szCs w:val="22"/>
              </w:rPr>
              <w:t>Conts</w:t>
            </w:r>
            <w:proofErr w:type="spellEnd"/>
            <w:r>
              <w:rPr>
                <w:rFonts w:ascii="Arial" w:hAnsi="Arial" w:cs="Arial"/>
                <w:sz w:val="22"/>
                <w:szCs w:val="22"/>
              </w:rPr>
              <w:t xml:space="preserve"> &amp; Bens Act s137(2)</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34" w:name="_Hlt150050873"/>
            <w:bookmarkStart w:id="35" w:name="_Hlt165452504"/>
            <w:r w:rsidRPr="00104ABD">
              <w:rPr>
                <w:rFonts w:cs="Arial"/>
                <w:sz w:val="22"/>
              </w:rPr>
              <w:t>13</w:t>
            </w:r>
            <w:bookmarkEnd w:id="34"/>
            <w:bookmarkEnd w:id="35"/>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45 – 47</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HB Reg 7</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36" w:name="_Hlt150050215"/>
            <w:bookmarkStart w:id="37" w:name="_Hlt150050876"/>
            <w:r w:rsidRPr="00104ABD">
              <w:rPr>
                <w:rFonts w:cs="Arial"/>
                <w:sz w:val="22"/>
              </w:rPr>
              <w:t>14</w:t>
            </w:r>
            <w:bookmarkEnd w:id="36"/>
            <w:bookmarkEnd w:id="37"/>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48 – 49</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Administration Act s75</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38" w:name="_Hlt150050313"/>
            <w:bookmarkStart w:id="39" w:name="_Hlt150050880"/>
            <w:bookmarkStart w:id="40" w:name="_Hlt165452558"/>
            <w:r w:rsidRPr="00104ABD">
              <w:rPr>
                <w:rFonts w:cs="Arial"/>
                <w:sz w:val="22"/>
              </w:rPr>
              <w:t>15</w:t>
            </w:r>
            <w:bookmarkEnd w:id="38"/>
            <w:bookmarkEnd w:id="39"/>
            <w:bookmarkEnd w:id="40"/>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50 – 51</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HB Reg 100</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C61A68">
            <w:pPr>
              <w:jc w:val="center"/>
              <w:rPr>
                <w:rFonts w:cs="Arial"/>
                <w:sz w:val="22"/>
              </w:rPr>
            </w:pPr>
            <w:bookmarkStart w:id="41" w:name="_Hlt150050884"/>
            <w:bookmarkStart w:id="42" w:name="_Hlt165452581"/>
            <w:r w:rsidRPr="00104ABD">
              <w:rPr>
                <w:rFonts w:cs="Arial"/>
                <w:sz w:val="22"/>
              </w:rPr>
              <w:t>16</w:t>
            </w:r>
            <w:bookmarkEnd w:id="41"/>
            <w:bookmarkEnd w:id="42"/>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52 – 54</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HB Reg 101</w:t>
            </w:r>
          </w:p>
        </w:tc>
      </w:tr>
      <w:tr w:rsidR="00E41CF4" w:rsidRPr="00104ABD" w:rsidTr="000E093C">
        <w:tblPrEx>
          <w:tblCellMar>
            <w:top w:w="0" w:type="dxa"/>
            <w:bottom w:w="0" w:type="dxa"/>
          </w:tblCellMar>
        </w:tblPrEx>
        <w:trPr>
          <w:cantSplit/>
        </w:trPr>
        <w:tc>
          <w:tcPr>
            <w:tcW w:w="1242"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jc w:val="center"/>
              <w:rPr>
                <w:rFonts w:cs="Arial"/>
                <w:sz w:val="22"/>
              </w:rPr>
            </w:pPr>
            <w:r>
              <w:rPr>
                <w:rFonts w:cs="Arial"/>
                <w:sz w:val="22"/>
              </w:rPr>
              <w:t>17</w:t>
            </w:r>
          </w:p>
        </w:tc>
        <w:tc>
          <w:tcPr>
            <w:tcW w:w="1276" w:type="dxa"/>
            <w:tcBorders>
              <w:top w:val="single" w:sz="6" w:space="0" w:color="auto"/>
              <w:left w:val="single" w:sz="6" w:space="0" w:color="auto"/>
              <w:bottom w:val="single" w:sz="6" w:space="0" w:color="auto"/>
              <w:right w:val="single" w:sz="6" w:space="0" w:color="auto"/>
            </w:tcBorders>
          </w:tcPr>
          <w:p w:rsidR="00E41CF4" w:rsidRPr="00104ABD" w:rsidRDefault="00296BA4" w:rsidP="007E7EF9">
            <w:pPr>
              <w:pStyle w:val="DefaultText"/>
              <w:rPr>
                <w:rFonts w:ascii="Arial" w:hAnsi="Arial" w:cs="Arial"/>
                <w:sz w:val="22"/>
                <w:szCs w:val="22"/>
              </w:rPr>
            </w:pPr>
            <w:r>
              <w:rPr>
                <w:rFonts w:ascii="Arial" w:hAnsi="Arial" w:cs="Arial"/>
                <w:sz w:val="22"/>
                <w:szCs w:val="22"/>
              </w:rPr>
              <w:t>55 – 57</w:t>
            </w:r>
          </w:p>
        </w:tc>
        <w:tc>
          <w:tcPr>
            <w:tcW w:w="1418"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1417" w:type="dxa"/>
            <w:tcBorders>
              <w:top w:val="single" w:sz="6" w:space="0" w:color="auto"/>
              <w:left w:val="single" w:sz="6" w:space="0" w:color="auto"/>
              <w:bottom w:val="single" w:sz="6" w:space="0" w:color="auto"/>
              <w:right w:val="single" w:sz="6" w:space="0" w:color="auto"/>
            </w:tcBorders>
          </w:tcPr>
          <w:p w:rsidR="00E41CF4" w:rsidRPr="00104ABD" w:rsidRDefault="00E41CF4" w:rsidP="0011089A">
            <w:pPr>
              <w:pStyle w:val="DefaultText"/>
              <w:rPr>
                <w:rFonts w:ascii="Arial" w:hAnsi="Arial" w:cs="Arial"/>
                <w:sz w:val="22"/>
                <w:szCs w:val="22"/>
              </w:rPr>
            </w:pPr>
            <w:r>
              <w:rPr>
                <w:rFonts w:ascii="Arial" w:hAnsi="Arial" w:cs="Arial"/>
                <w:sz w:val="22"/>
                <w:szCs w:val="22"/>
              </w:rPr>
              <w:t>n/a</w:t>
            </w:r>
          </w:p>
        </w:tc>
        <w:tc>
          <w:tcPr>
            <w:tcW w:w="3169" w:type="dxa"/>
            <w:tcBorders>
              <w:top w:val="single" w:sz="6" w:space="0" w:color="auto"/>
              <w:left w:val="single" w:sz="6" w:space="0" w:color="auto"/>
              <w:bottom w:val="single" w:sz="6" w:space="0" w:color="auto"/>
              <w:right w:val="single" w:sz="6" w:space="0" w:color="auto"/>
            </w:tcBorders>
          </w:tcPr>
          <w:p w:rsidR="00E41CF4" w:rsidRPr="00104ABD" w:rsidRDefault="00E41CF4" w:rsidP="007E7EF9">
            <w:pPr>
              <w:pStyle w:val="DefaultText"/>
              <w:rPr>
                <w:rFonts w:ascii="Arial" w:hAnsi="Arial" w:cs="Arial"/>
                <w:sz w:val="22"/>
                <w:szCs w:val="22"/>
              </w:rPr>
            </w:pPr>
            <w:r>
              <w:rPr>
                <w:rFonts w:ascii="Arial" w:hAnsi="Arial" w:cs="Arial"/>
                <w:sz w:val="22"/>
                <w:szCs w:val="22"/>
              </w:rPr>
              <w:t>Extract from R(H) 6/06</w:t>
            </w:r>
          </w:p>
        </w:tc>
      </w:tr>
    </w:tbl>
    <w:p w:rsidR="00032D1E" w:rsidRDefault="00032D1E" w:rsidP="00032D1E"/>
    <w:p w:rsidR="00032D1E" w:rsidRDefault="00032D1E" w:rsidP="00032D1E"/>
    <w:p w:rsidR="00032D1E" w:rsidRDefault="00032D1E" w:rsidP="00032D1E"/>
    <w:p w:rsidR="00032D1E" w:rsidRPr="00032D1E" w:rsidRDefault="00032D1E" w:rsidP="00032D1E">
      <w:pPr>
        <w:pStyle w:val="ListParagraph"/>
        <w:numPr>
          <w:ilvl w:val="0"/>
          <w:numId w:val="1"/>
        </w:numPr>
        <w:rPr>
          <w:b/>
          <w:sz w:val="32"/>
        </w:rPr>
      </w:pPr>
      <w:r>
        <w:rPr>
          <w:b/>
          <w:sz w:val="32"/>
        </w:rPr>
        <w:t>Decision under appeal</w:t>
      </w:r>
    </w:p>
    <w:p w:rsidR="00032D1E" w:rsidRDefault="00032D1E" w:rsidP="00032D1E"/>
    <w:p w:rsidR="00032D1E" w:rsidRDefault="00032D1E" w:rsidP="00032D1E"/>
    <w:p w:rsidR="00032D1E" w:rsidRDefault="00032D1E" w:rsidP="00032D1E">
      <w:pPr>
        <w:pStyle w:val="ListParagraph"/>
        <w:numPr>
          <w:ilvl w:val="1"/>
          <w:numId w:val="1"/>
        </w:numPr>
      </w:pPr>
      <w:r>
        <w:t xml:space="preserve">The Council has </w:t>
      </w:r>
      <w:r w:rsidR="00B419F7">
        <w:t xml:space="preserve">decided that </w:t>
      </w:r>
      <w:r w:rsidR="00C87C9D">
        <w:t xml:space="preserve">a Housing Benefit (HB) overpayment of £754.29 is recoverable from Mr </w:t>
      </w:r>
      <w:r w:rsidR="00277584">
        <w:t>Barker</w:t>
      </w:r>
      <w:r w:rsidR="00C87C9D">
        <w:t xml:space="preserve"> and from his former tenant Mr Paul </w:t>
      </w:r>
      <w:r w:rsidR="005A2224">
        <w:t>Hall</w:t>
      </w:r>
      <w:r w:rsidR="00C87C9D">
        <w:t>.  The overpayment arises from a superseding decision ending Mr </w:t>
      </w:r>
      <w:r w:rsidR="005A2224">
        <w:t>Hall</w:t>
      </w:r>
      <w:r w:rsidR="00C87C9D">
        <w:t xml:space="preserve">’s Housing Benefit award with effect from 8 May 2009.  According to the Council’s records, Mr </w:t>
      </w:r>
      <w:r w:rsidR="005A2224">
        <w:t>Hall</w:t>
      </w:r>
      <w:r w:rsidR="00C87C9D">
        <w:t xml:space="preserve"> moved to another dwelling outside the Council’s area at that time; but Housing Benefit payments were made to Mr </w:t>
      </w:r>
      <w:r w:rsidR="00277584">
        <w:t>Barker</w:t>
      </w:r>
      <w:r w:rsidR="00C87C9D">
        <w:t xml:space="preserve"> up to </w:t>
      </w:r>
      <w:r w:rsidR="007A19D8">
        <w:t>12</w:t>
      </w:r>
      <w:r w:rsidR="00C87C9D">
        <w:t xml:space="preserve"> Ju</w:t>
      </w:r>
      <w:r w:rsidR="007A19D8">
        <w:t>ly</w:t>
      </w:r>
      <w:r w:rsidR="00C87C9D">
        <w:t xml:space="preserve"> 2009.   </w:t>
      </w:r>
      <w:r w:rsidR="00B419F7">
        <w:t xml:space="preserve">  </w:t>
      </w:r>
    </w:p>
    <w:p w:rsidR="00032D1E" w:rsidRDefault="00032D1E" w:rsidP="00032D1E">
      <w:pPr>
        <w:ind w:left="360"/>
      </w:pPr>
    </w:p>
    <w:p w:rsidR="00C87C9D" w:rsidRDefault="00B419F7" w:rsidP="00B419F7">
      <w:pPr>
        <w:pStyle w:val="ListParagraph"/>
        <w:numPr>
          <w:ilvl w:val="1"/>
          <w:numId w:val="1"/>
        </w:numPr>
      </w:pPr>
      <w:r>
        <w:t xml:space="preserve">The </w:t>
      </w:r>
      <w:r w:rsidR="00C87C9D">
        <w:t xml:space="preserve">original </w:t>
      </w:r>
      <w:r>
        <w:t>decision notice</w:t>
      </w:r>
      <w:r w:rsidR="00C87C9D">
        <w:t>s</w:t>
      </w:r>
      <w:r>
        <w:t xml:space="preserve"> informing Mr </w:t>
      </w:r>
      <w:r w:rsidR="00277584">
        <w:t>Barker</w:t>
      </w:r>
      <w:r w:rsidR="00C87C9D">
        <w:t xml:space="preserve"> and Mr </w:t>
      </w:r>
      <w:r w:rsidR="005A2224">
        <w:t>Hall</w:t>
      </w:r>
      <w:r w:rsidR="00C87C9D">
        <w:t xml:space="preserve"> of the overpayment are attached as Appendices 1 and 2</w:t>
      </w:r>
      <w:r>
        <w:t xml:space="preserve"> </w:t>
      </w:r>
      <w:r w:rsidR="00C87C9D">
        <w:t xml:space="preserve">(pages </w:t>
      </w:r>
      <w:r w:rsidR="00F76A57">
        <w:t>10 - 1</w:t>
      </w:r>
      <w:r w:rsidR="00296BA4">
        <w:t>6</w:t>
      </w:r>
      <w:r w:rsidR="00C87C9D">
        <w:t>).</w:t>
      </w:r>
    </w:p>
    <w:p w:rsidR="00C87C9D" w:rsidRDefault="00C87C9D" w:rsidP="00C87C9D">
      <w:pPr>
        <w:pStyle w:val="ListParagraph"/>
      </w:pPr>
    </w:p>
    <w:p w:rsidR="00B419F7" w:rsidRDefault="00C87C9D" w:rsidP="00B419F7">
      <w:pPr>
        <w:pStyle w:val="ListParagraph"/>
        <w:numPr>
          <w:ilvl w:val="1"/>
          <w:numId w:val="1"/>
        </w:numPr>
      </w:pPr>
      <w:r>
        <w:t>The Tribunal will see that the original d</w:t>
      </w:r>
      <w:r w:rsidR="00B419F7">
        <w:t xml:space="preserve">ecision </w:t>
      </w:r>
      <w:r>
        <w:t xml:space="preserve">notices say that Mr </w:t>
      </w:r>
      <w:r w:rsidR="005A2224">
        <w:t>Hall</w:t>
      </w:r>
      <w:r>
        <w:t>’s Housing Benefit ended from 8 June 2009</w:t>
      </w:r>
      <w:r w:rsidR="00221399">
        <w:t xml:space="preserve"> and the amount overpaid was £400</w:t>
      </w:r>
      <w:r>
        <w:t xml:space="preserve">.  </w:t>
      </w:r>
      <w:r w:rsidR="00221399">
        <w:t xml:space="preserve">The decision was subsequently revised to Mr </w:t>
      </w:r>
      <w:r w:rsidR="005A2224">
        <w:t>Hall</w:t>
      </w:r>
      <w:r w:rsidR="00221399">
        <w:t xml:space="preserve">’s and Mr </w:t>
      </w:r>
      <w:r w:rsidR="00277584">
        <w:t>Barker</w:t>
      </w:r>
      <w:r w:rsidR="00221399">
        <w:t xml:space="preserve">’s disadvantage:  the Council now believes that Mr </w:t>
      </w:r>
      <w:r w:rsidR="005A2224">
        <w:t>Hall</w:t>
      </w:r>
      <w:r w:rsidR="00221399">
        <w:t xml:space="preserve">’s entitlement ended on 8 May 2009 and that the amount overpaid is £754.29.  The decision notices informing Mr </w:t>
      </w:r>
      <w:r w:rsidR="00277584">
        <w:t>Barker</w:t>
      </w:r>
      <w:r w:rsidR="00221399">
        <w:t xml:space="preserve"> and Mr </w:t>
      </w:r>
      <w:r w:rsidR="005A2224">
        <w:t>Hall</w:t>
      </w:r>
      <w:r w:rsidR="00221399">
        <w:t xml:space="preserve"> of the revised decision are attached as Appendices 3 and 4 (pages </w:t>
      </w:r>
      <w:r w:rsidR="00296BA4">
        <w:t>17</w:t>
      </w:r>
      <w:r w:rsidR="00F76A57">
        <w:t xml:space="preserve"> - 2</w:t>
      </w:r>
      <w:r w:rsidR="00296BA4">
        <w:t>3</w:t>
      </w:r>
      <w:r w:rsidR="00221399">
        <w:t>)</w:t>
      </w:r>
      <w:r w:rsidR="00B419F7">
        <w:t>.</w:t>
      </w:r>
    </w:p>
    <w:p w:rsidR="007A19D8" w:rsidRDefault="007A19D8" w:rsidP="007A19D8">
      <w:pPr>
        <w:pStyle w:val="ListParagraph"/>
      </w:pPr>
    </w:p>
    <w:p w:rsidR="007A19D8" w:rsidRDefault="007A19D8" w:rsidP="00B419F7">
      <w:pPr>
        <w:pStyle w:val="ListParagraph"/>
        <w:numPr>
          <w:ilvl w:val="1"/>
          <w:numId w:val="1"/>
        </w:numPr>
      </w:pPr>
      <w:r>
        <w:t xml:space="preserve">The decision notices referred to above </w:t>
      </w:r>
      <w:r w:rsidR="00E64C4E">
        <w:t>include</w:t>
      </w:r>
      <w:r>
        <w:t xml:space="preserve"> a further </w:t>
      </w:r>
      <w:r w:rsidR="00E64C4E">
        <w:t xml:space="preserve">overpaid </w:t>
      </w:r>
      <w:r>
        <w:t xml:space="preserve">amount of </w:t>
      </w:r>
      <w:r w:rsidR="00E64C4E">
        <w:t xml:space="preserve">£12.31 a week over the same period.  This part of the HB award was paid to Mr </w:t>
      </w:r>
      <w:r w:rsidR="005A2224">
        <w:t>Hall</w:t>
      </w:r>
      <w:r w:rsidR="00E64C4E">
        <w:t xml:space="preserve"> himself under the Local Housing Allowance rules</w:t>
      </w:r>
      <w:proofErr w:type="gramStart"/>
      <w:r w:rsidR="00E64C4E">
        <w:t>;  the</w:t>
      </w:r>
      <w:proofErr w:type="gramEnd"/>
      <w:r w:rsidR="00E64C4E">
        <w:t xml:space="preserve"> Council has not decided that this further amount is recoverable from Mr </w:t>
      </w:r>
      <w:r w:rsidR="00277584">
        <w:t>Barker</w:t>
      </w:r>
      <w:r w:rsidR="00E64C4E">
        <w:t xml:space="preserve"> and so it is not relevant to his appeal.</w:t>
      </w:r>
    </w:p>
    <w:p w:rsidR="00B419F7" w:rsidRDefault="00B419F7" w:rsidP="00B419F7">
      <w:pPr>
        <w:pStyle w:val="ListParagraph"/>
      </w:pPr>
    </w:p>
    <w:p w:rsidR="00032D1E" w:rsidRDefault="00B419F7" w:rsidP="00B419F7">
      <w:pPr>
        <w:pStyle w:val="ListParagraph"/>
        <w:ind w:left="360"/>
      </w:pPr>
      <w:r>
        <w:t xml:space="preserve"> </w:t>
      </w:r>
    </w:p>
    <w:p w:rsidR="00032D1E" w:rsidRPr="00032D1E" w:rsidRDefault="00032D1E" w:rsidP="00032D1E">
      <w:pPr>
        <w:pStyle w:val="ListParagraph"/>
        <w:numPr>
          <w:ilvl w:val="0"/>
          <w:numId w:val="1"/>
        </w:numPr>
        <w:rPr>
          <w:b/>
          <w:sz w:val="32"/>
        </w:rPr>
      </w:pPr>
      <w:r>
        <w:rPr>
          <w:b/>
          <w:sz w:val="32"/>
        </w:rPr>
        <w:t>Appeal</w:t>
      </w:r>
    </w:p>
    <w:p w:rsidR="00032D1E" w:rsidRDefault="00032D1E" w:rsidP="00032D1E"/>
    <w:p w:rsidR="00032D1E" w:rsidRDefault="00221399" w:rsidP="00032D1E">
      <w:pPr>
        <w:pStyle w:val="ListParagraph"/>
        <w:numPr>
          <w:ilvl w:val="1"/>
          <w:numId w:val="1"/>
        </w:numPr>
      </w:pPr>
      <w:r>
        <w:t xml:space="preserve">The appellant is Mr </w:t>
      </w:r>
      <w:r w:rsidR="00277584">
        <w:t>Barker</w:t>
      </w:r>
      <w:r>
        <w:t xml:space="preserve">.  His appeal </w:t>
      </w:r>
      <w:r w:rsidR="00B5504E">
        <w:t>i</w:t>
      </w:r>
      <w:r w:rsidR="000E093C">
        <w:t xml:space="preserve">s attached as Appendix </w:t>
      </w:r>
      <w:r>
        <w:t xml:space="preserve">5 (page </w:t>
      </w:r>
      <w:r w:rsidR="00296BA4">
        <w:t>24</w:t>
      </w:r>
      <w:r w:rsidR="00B5504E">
        <w:t>).</w:t>
      </w:r>
    </w:p>
    <w:p w:rsidR="00221399" w:rsidRDefault="00221399" w:rsidP="00221399">
      <w:pPr>
        <w:pStyle w:val="ListParagraph"/>
        <w:ind w:left="360"/>
      </w:pPr>
    </w:p>
    <w:p w:rsidR="00221399" w:rsidRDefault="00221399" w:rsidP="00032D1E">
      <w:pPr>
        <w:pStyle w:val="ListParagraph"/>
        <w:numPr>
          <w:ilvl w:val="1"/>
          <w:numId w:val="1"/>
        </w:numPr>
      </w:pPr>
      <w:r>
        <w:t xml:space="preserve">The Council has had no contact from Mr </w:t>
      </w:r>
      <w:r w:rsidR="005A2224">
        <w:t>Hall</w:t>
      </w:r>
      <w:r>
        <w:t>, but he is a respondent to this appeal because he is a person affected by the decision.</w:t>
      </w:r>
    </w:p>
    <w:p w:rsidR="00B5504E" w:rsidRDefault="00B5504E" w:rsidP="00B5504E">
      <w:pPr>
        <w:ind w:left="360"/>
      </w:pPr>
    </w:p>
    <w:p w:rsidR="00B5504E" w:rsidRDefault="00B5504E" w:rsidP="00B5504E">
      <w:pPr>
        <w:pStyle w:val="ListParagraph"/>
      </w:pPr>
    </w:p>
    <w:p w:rsidR="00B5504E" w:rsidRPr="0003327B" w:rsidRDefault="0003327B" w:rsidP="00B5504E">
      <w:pPr>
        <w:pStyle w:val="ListParagraph"/>
        <w:numPr>
          <w:ilvl w:val="0"/>
          <w:numId w:val="1"/>
        </w:numPr>
        <w:rPr>
          <w:b/>
          <w:sz w:val="32"/>
        </w:rPr>
      </w:pPr>
      <w:r>
        <w:rPr>
          <w:b/>
          <w:sz w:val="32"/>
        </w:rPr>
        <w:t>Chronology of facts</w:t>
      </w:r>
    </w:p>
    <w:p w:rsidR="0003327B" w:rsidRDefault="0003327B" w:rsidP="0003327B"/>
    <w:p w:rsidR="00221399" w:rsidRPr="00221399" w:rsidRDefault="00221399" w:rsidP="0003327B">
      <w:pPr>
        <w:rPr>
          <w:b/>
        </w:rPr>
      </w:pPr>
      <w:r w:rsidRPr="00221399">
        <w:rPr>
          <w:b/>
        </w:rPr>
        <w:t xml:space="preserve">Housing Benefit award to Mr </w:t>
      </w:r>
      <w:r w:rsidR="005A2224">
        <w:rPr>
          <w:b/>
        </w:rPr>
        <w:t>Hall</w:t>
      </w:r>
    </w:p>
    <w:p w:rsidR="00221399" w:rsidRDefault="00221399" w:rsidP="0003327B"/>
    <w:p w:rsidR="00221399" w:rsidRDefault="006E65FC" w:rsidP="0003327B">
      <w:pPr>
        <w:pStyle w:val="ListParagraph"/>
        <w:numPr>
          <w:ilvl w:val="1"/>
          <w:numId w:val="1"/>
        </w:numPr>
      </w:pPr>
      <w:r>
        <w:t xml:space="preserve">Mr </w:t>
      </w:r>
      <w:r w:rsidR="005A2224">
        <w:t>Hall</w:t>
      </w:r>
      <w:r w:rsidR="00221399">
        <w:t xml:space="preserve"> </w:t>
      </w:r>
      <w:r w:rsidR="00C23FBC">
        <w:t xml:space="preserve">lived at </w:t>
      </w:r>
      <w:r w:rsidR="00F76A57">
        <w:t xml:space="preserve">16 </w:t>
      </w:r>
      <w:r w:rsidR="005A2224">
        <w:t>Any</w:t>
      </w:r>
      <w:r w:rsidR="00F76A57">
        <w:t xml:space="preserve"> St in </w:t>
      </w:r>
      <w:proofErr w:type="spellStart"/>
      <w:r w:rsidR="005A2224">
        <w:t>Anytown</w:t>
      </w:r>
      <w:proofErr w:type="spellEnd"/>
      <w:r w:rsidR="009C6BF7">
        <w:t xml:space="preserve"> until the late spring or early summer of 2009 – the exact date on which he ceased to occupy the property is a matter of dispute between the Council and the appellant, Mr </w:t>
      </w:r>
      <w:r w:rsidR="00277584">
        <w:t>Barker</w:t>
      </w:r>
      <w:r w:rsidR="009C6BF7">
        <w:t xml:space="preserve">.  Mr </w:t>
      </w:r>
      <w:r w:rsidR="005A2224">
        <w:t>Hall</w:t>
      </w:r>
      <w:r w:rsidR="009C6BF7">
        <w:t xml:space="preserve"> </w:t>
      </w:r>
      <w:r w:rsidR="00221399">
        <w:t xml:space="preserve">was awarded maximum Housing Benefit of £92.31 a week, based on </w:t>
      </w:r>
      <w:r w:rsidR="00E64C4E">
        <w:t xml:space="preserve">the Local Housing Allowance rate </w:t>
      </w:r>
      <w:r w:rsidR="00221399">
        <w:t>of £400</w:t>
      </w:r>
      <w:r w:rsidR="00E64C4E">
        <w:t xml:space="preserve"> a month</w:t>
      </w:r>
      <w:r w:rsidR="00221399">
        <w:t>, from 2</w:t>
      </w:r>
      <w:r w:rsidR="000A28C0">
        <w:t>0</w:t>
      </w:r>
      <w:r w:rsidR="00221399">
        <w:t xml:space="preserve"> October 2008. </w:t>
      </w:r>
    </w:p>
    <w:p w:rsidR="00221399" w:rsidRDefault="00221399" w:rsidP="0028187F">
      <w:pPr>
        <w:pStyle w:val="ListParagraph"/>
        <w:ind w:left="360"/>
      </w:pPr>
    </w:p>
    <w:p w:rsidR="0028187F" w:rsidRDefault="00E64C4E" w:rsidP="0003327B">
      <w:pPr>
        <w:pStyle w:val="ListParagraph"/>
        <w:numPr>
          <w:ilvl w:val="1"/>
          <w:numId w:val="1"/>
        </w:numPr>
      </w:pPr>
      <w:r>
        <w:lastRenderedPageBreak/>
        <w:t xml:space="preserve">The original decision notice informing Mr </w:t>
      </w:r>
      <w:r w:rsidR="005A2224">
        <w:t>Hall</w:t>
      </w:r>
      <w:r>
        <w:t xml:space="preserve"> of the award is attached as Appendix 6 (pages </w:t>
      </w:r>
      <w:r w:rsidR="00296BA4">
        <w:t>27 - 28</w:t>
      </w:r>
      <w:r>
        <w:t xml:space="preserve">).  The Tribunal will see that payment of HB was split between Mr </w:t>
      </w:r>
      <w:r w:rsidR="005A2224">
        <w:t>Hall</w:t>
      </w:r>
      <w:r>
        <w:t xml:space="preserve"> and Mr </w:t>
      </w:r>
      <w:r w:rsidR="00277584">
        <w:t>Barker</w:t>
      </w:r>
      <w:r>
        <w:t xml:space="preserve">:  because Mr </w:t>
      </w:r>
      <w:r w:rsidR="005A2224">
        <w:t>Hall</w:t>
      </w:r>
      <w:r>
        <w:t xml:space="preserve">’s rent liability was only £80 a week, that was the maximum amount payable to Mr </w:t>
      </w:r>
      <w:r w:rsidR="00277584">
        <w:t>Barker</w:t>
      </w:r>
      <w:proofErr w:type="gramStart"/>
      <w:r>
        <w:t>;  but</w:t>
      </w:r>
      <w:proofErr w:type="gramEnd"/>
      <w:r>
        <w:t xml:space="preserve"> under the Local Housing Allowance (LHA) rules, Mr </w:t>
      </w:r>
      <w:r w:rsidR="005A2224">
        <w:t>Hall</w:t>
      </w:r>
      <w:r>
        <w:t xml:space="preserve"> was entitled to a further £12.31 a week because the </w:t>
      </w:r>
      <w:r w:rsidR="005146D9">
        <w:t xml:space="preserve">appropriate LHA for his household size exceeded his rent liability.  The extra £12.31 was paid to Mr </w:t>
      </w:r>
      <w:r w:rsidR="005A2224">
        <w:t>Hall</w:t>
      </w:r>
      <w:r w:rsidR="005146D9">
        <w:t xml:space="preserve"> himself.  This appeal is concerned only with the HB payments of £80 a week made to Mr </w:t>
      </w:r>
      <w:r w:rsidR="00277584">
        <w:t>Barker</w:t>
      </w:r>
      <w:r w:rsidR="005146D9">
        <w:t>.</w:t>
      </w:r>
      <w:r w:rsidR="00221399">
        <w:t xml:space="preserve"> </w:t>
      </w:r>
    </w:p>
    <w:p w:rsidR="0028187F" w:rsidRDefault="0028187F" w:rsidP="0028187F">
      <w:pPr>
        <w:pStyle w:val="ListParagraph"/>
      </w:pPr>
    </w:p>
    <w:p w:rsidR="002E7A91" w:rsidRPr="002E7A91" w:rsidRDefault="002E7A91" w:rsidP="002E7A91">
      <w:pPr>
        <w:pStyle w:val="ListParagraph"/>
        <w:ind w:left="0"/>
        <w:rPr>
          <w:b/>
        </w:rPr>
      </w:pPr>
      <w:r w:rsidRPr="002E7A91">
        <w:rPr>
          <w:b/>
        </w:rPr>
        <w:t xml:space="preserve">Notice of Mr </w:t>
      </w:r>
      <w:r w:rsidR="005A2224">
        <w:rPr>
          <w:b/>
        </w:rPr>
        <w:t>Hall</w:t>
      </w:r>
      <w:r w:rsidRPr="002E7A91">
        <w:rPr>
          <w:b/>
        </w:rPr>
        <w:t>’s vacation</w:t>
      </w:r>
    </w:p>
    <w:p w:rsidR="002E7A91" w:rsidRDefault="002E7A91" w:rsidP="0028187F">
      <w:pPr>
        <w:pStyle w:val="ListParagraph"/>
      </w:pPr>
    </w:p>
    <w:p w:rsidR="0003327B" w:rsidRDefault="0028187F" w:rsidP="0003327B">
      <w:pPr>
        <w:pStyle w:val="ListParagraph"/>
        <w:numPr>
          <w:ilvl w:val="1"/>
          <w:numId w:val="1"/>
        </w:numPr>
      </w:pPr>
      <w:r>
        <w:t xml:space="preserve">On 26 June 2009, the Council received an electronic notice from the Department for Work and </w:t>
      </w:r>
      <w:r w:rsidR="002E7A91">
        <w:t>P</w:t>
      </w:r>
      <w:r>
        <w:t xml:space="preserve">ensions </w:t>
      </w:r>
      <w:r w:rsidR="002E7A91">
        <w:t xml:space="preserve">(DWP) </w:t>
      </w:r>
      <w:r>
        <w:t xml:space="preserve">informing it that Mr </w:t>
      </w:r>
      <w:r w:rsidR="005A2224">
        <w:t>Hall</w:t>
      </w:r>
      <w:r>
        <w:t xml:space="preserve"> had moved to the </w:t>
      </w:r>
      <w:proofErr w:type="spellStart"/>
      <w:r w:rsidR="005A2224">
        <w:t>Othertown</w:t>
      </w:r>
      <w:proofErr w:type="spellEnd"/>
      <w:r>
        <w:t xml:space="preserve"> area (Appendix </w:t>
      </w:r>
      <w:r w:rsidR="005146D9">
        <w:t>7</w:t>
      </w:r>
      <w:r>
        <w:t xml:space="preserve">, page </w:t>
      </w:r>
      <w:r w:rsidR="00F76A57">
        <w:t>2</w:t>
      </w:r>
      <w:r w:rsidR="00296BA4">
        <w:t>9</w:t>
      </w:r>
      <w:r>
        <w:t>).  The date of the move was shown as 5 June 2009.</w:t>
      </w:r>
    </w:p>
    <w:p w:rsidR="0028187F" w:rsidRDefault="0028187F" w:rsidP="0028187F">
      <w:pPr>
        <w:pStyle w:val="ListParagraph"/>
      </w:pPr>
    </w:p>
    <w:p w:rsidR="0028187F" w:rsidRDefault="0028187F" w:rsidP="0003327B">
      <w:pPr>
        <w:pStyle w:val="ListParagraph"/>
        <w:numPr>
          <w:ilvl w:val="1"/>
          <w:numId w:val="1"/>
        </w:numPr>
      </w:pPr>
      <w:r>
        <w:t xml:space="preserve">One further Housing Benefit payment was issued to Mr </w:t>
      </w:r>
      <w:r w:rsidR="00277584">
        <w:t>Barker</w:t>
      </w:r>
      <w:r>
        <w:t xml:space="preserve"> covering the period up to and including 12 July 2009</w:t>
      </w:r>
      <w:r w:rsidR="00C23FBC">
        <w:t>.</w:t>
      </w:r>
      <w:r w:rsidR="005146D9">
        <w:t xml:space="preserve">  The payment was made in arrears on or shortly before that date.</w:t>
      </w:r>
    </w:p>
    <w:p w:rsidR="00C23FBC" w:rsidRDefault="00C23FBC" w:rsidP="00C23FBC">
      <w:pPr>
        <w:pStyle w:val="ListParagraph"/>
      </w:pPr>
    </w:p>
    <w:p w:rsidR="00C23FBC" w:rsidRDefault="00C23FBC" w:rsidP="0003327B">
      <w:pPr>
        <w:pStyle w:val="ListParagraph"/>
        <w:numPr>
          <w:ilvl w:val="1"/>
          <w:numId w:val="1"/>
        </w:numPr>
      </w:pPr>
      <w:r>
        <w:t xml:space="preserve">On 20 July, the Council decided that Mr </w:t>
      </w:r>
      <w:r w:rsidR="005A2224">
        <w:t>Hall</w:t>
      </w:r>
      <w:r>
        <w:t xml:space="preserve"> was no longer entitled to </w:t>
      </w:r>
      <w:r w:rsidR="008F25D8">
        <w:t>HB</w:t>
      </w:r>
      <w:r>
        <w:t xml:space="preserve"> from 8 June 2009 as he no longer occupied the dwelling at </w:t>
      </w:r>
      <w:r w:rsidR="00F76A57">
        <w:t xml:space="preserve">16 </w:t>
      </w:r>
      <w:r w:rsidR="005A2224">
        <w:t>Any</w:t>
      </w:r>
      <w:r w:rsidR="00F76A57">
        <w:t xml:space="preserve"> St</w:t>
      </w:r>
      <w:r>
        <w:t xml:space="preserve"> as his home.</w:t>
      </w:r>
      <w:r w:rsidR="002E7A91">
        <w:t xml:space="preserve">  The Council </w:t>
      </w:r>
      <w:r w:rsidR="005146D9">
        <w:t xml:space="preserve">also </w:t>
      </w:r>
      <w:r w:rsidR="002E7A91">
        <w:t xml:space="preserve">decided that </w:t>
      </w:r>
      <w:r w:rsidR="005146D9">
        <w:t>all HB paid for the five-week period from 8 June to 12 July had been overpaid.  Of that overpaid HB, the Council decided that £80 a week (</w:t>
      </w:r>
      <w:r w:rsidR="002E7A91">
        <w:t xml:space="preserve">£400 </w:t>
      </w:r>
      <w:r w:rsidR="005146D9">
        <w:t xml:space="preserve">in total) </w:t>
      </w:r>
      <w:r w:rsidR="002E7A91">
        <w:t xml:space="preserve">was recoverable from both Mr </w:t>
      </w:r>
      <w:r w:rsidR="005A2224">
        <w:t>Hall</w:t>
      </w:r>
      <w:r w:rsidR="002E7A91">
        <w:t xml:space="preserve"> and Mr </w:t>
      </w:r>
      <w:r w:rsidR="00277584">
        <w:t>Barker</w:t>
      </w:r>
      <w:r w:rsidR="002E7A91">
        <w:t xml:space="preserve"> (Appendices 1 and 2 – pages </w:t>
      </w:r>
      <w:r w:rsidR="00F76A57">
        <w:t>10 - 1</w:t>
      </w:r>
      <w:r w:rsidR="00296BA4">
        <w:t>6</w:t>
      </w:r>
      <w:r w:rsidR="002E7A91">
        <w:t>)</w:t>
      </w:r>
      <w:r w:rsidR="005146D9">
        <w:t xml:space="preserve"> – that being the amount that had been paid to Mr </w:t>
      </w:r>
      <w:r w:rsidR="00277584">
        <w:t>Barker</w:t>
      </w:r>
      <w:r w:rsidR="002E7A91">
        <w:t>.</w:t>
      </w:r>
    </w:p>
    <w:p w:rsidR="002E7A91" w:rsidRDefault="002E7A91" w:rsidP="002E7A91">
      <w:pPr>
        <w:pStyle w:val="ListParagraph"/>
      </w:pPr>
    </w:p>
    <w:p w:rsidR="002E7A91" w:rsidRPr="002E7A91" w:rsidRDefault="002E7A91" w:rsidP="002E7A91">
      <w:pPr>
        <w:pStyle w:val="ListParagraph"/>
        <w:ind w:left="0"/>
        <w:rPr>
          <w:b/>
        </w:rPr>
      </w:pPr>
      <w:r>
        <w:rPr>
          <w:b/>
        </w:rPr>
        <w:t>Appeal and follow-up correspondence</w:t>
      </w:r>
    </w:p>
    <w:p w:rsidR="002E7A91" w:rsidRDefault="002E7A91" w:rsidP="002E7A91">
      <w:pPr>
        <w:pStyle w:val="ListParagraph"/>
      </w:pPr>
    </w:p>
    <w:p w:rsidR="002E7A91" w:rsidRDefault="002E7A91" w:rsidP="0003327B">
      <w:pPr>
        <w:pStyle w:val="ListParagraph"/>
        <w:numPr>
          <w:ilvl w:val="1"/>
          <w:numId w:val="1"/>
        </w:numPr>
      </w:pPr>
      <w:r>
        <w:t xml:space="preserve"> On 31 July the Council received an appeal from Mr </w:t>
      </w:r>
      <w:r w:rsidR="00277584">
        <w:t>Barker</w:t>
      </w:r>
      <w:r>
        <w:t xml:space="preserve"> (Appendix 5, page </w:t>
      </w:r>
      <w:r w:rsidR="00F76A57">
        <w:t>2</w:t>
      </w:r>
      <w:r w:rsidR="00296BA4">
        <w:t>4</w:t>
      </w:r>
      <w:r>
        <w:t xml:space="preserve">).  Mr </w:t>
      </w:r>
      <w:r w:rsidR="00277584">
        <w:t>Barker</w:t>
      </w:r>
      <w:r>
        <w:t xml:space="preserve"> said that as far as he was aware Mr </w:t>
      </w:r>
      <w:r w:rsidR="005A2224">
        <w:t>Hall</w:t>
      </w:r>
      <w:r>
        <w:t xml:space="preserve"> remained in occupation until 22 July, and that in any case even if there was an overpayment it was Mr </w:t>
      </w:r>
      <w:r w:rsidR="005A2224">
        <w:t>Hall</w:t>
      </w:r>
      <w:r>
        <w:t>’s fault and not his.</w:t>
      </w:r>
    </w:p>
    <w:p w:rsidR="002E7A91" w:rsidRDefault="002E7A91" w:rsidP="002E7A91">
      <w:pPr>
        <w:pStyle w:val="ListParagraph"/>
        <w:ind w:left="360"/>
      </w:pPr>
    </w:p>
    <w:p w:rsidR="002E7A91" w:rsidRDefault="002E7A91" w:rsidP="0003327B">
      <w:pPr>
        <w:pStyle w:val="ListParagraph"/>
        <w:numPr>
          <w:ilvl w:val="1"/>
          <w:numId w:val="1"/>
        </w:numPr>
      </w:pPr>
      <w:r>
        <w:t xml:space="preserve">The Council replied to Mr </w:t>
      </w:r>
      <w:r w:rsidR="00277584">
        <w:t>Barker</w:t>
      </w:r>
      <w:r>
        <w:t xml:space="preserve"> on 13 August 2009 inviting him to provide evidence that Mr </w:t>
      </w:r>
      <w:r w:rsidR="005A2224">
        <w:t>Hall</w:t>
      </w:r>
      <w:r>
        <w:t xml:space="preserve"> continued to occupy 16 </w:t>
      </w:r>
      <w:r w:rsidR="005A2224">
        <w:t>Any</w:t>
      </w:r>
      <w:r>
        <w:t xml:space="preserve"> Street after 8 June (Appendix </w:t>
      </w:r>
      <w:r w:rsidR="005146D9">
        <w:t>8</w:t>
      </w:r>
      <w:r>
        <w:t xml:space="preserve">, page </w:t>
      </w:r>
      <w:r w:rsidR="00296BA4">
        <w:t>32</w:t>
      </w:r>
      <w:r>
        <w:t xml:space="preserve">).  On the same date the Council wrote to Mr </w:t>
      </w:r>
      <w:r w:rsidR="005A2224">
        <w:t>Hall</w:t>
      </w:r>
      <w:r>
        <w:t xml:space="preserve"> at his new address asking him to provide clarification of the date when he had moved and to say whether he had given Mr </w:t>
      </w:r>
      <w:r w:rsidR="00277584">
        <w:t>Barker</w:t>
      </w:r>
      <w:r>
        <w:t xml:space="preserve"> any notice of his intention to move (Appendix </w:t>
      </w:r>
      <w:r w:rsidR="005146D9">
        <w:t>9</w:t>
      </w:r>
      <w:r>
        <w:t xml:space="preserve">, page </w:t>
      </w:r>
      <w:r w:rsidR="00296BA4">
        <w:t>34</w:t>
      </w:r>
      <w:r>
        <w:t>).</w:t>
      </w:r>
    </w:p>
    <w:p w:rsidR="002E7A91" w:rsidRDefault="002E7A91" w:rsidP="002E7A91">
      <w:pPr>
        <w:pStyle w:val="ListParagraph"/>
      </w:pPr>
    </w:p>
    <w:p w:rsidR="00376411" w:rsidRPr="00023A36" w:rsidRDefault="00023A36" w:rsidP="00376411">
      <w:pPr>
        <w:pStyle w:val="ListParagraph"/>
        <w:ind w:left="0"/>
        <w:rPr>
          <w:b/>
        </w:rPr>
      </w:pPr>
      <w:r>
        <w:rPr>
          <w:b/>
        </w:rPr>
        <w:t>Revision of decision</w:t>
      </w:r>
      <w:r w:rsidR="008F25D8">
        <w:rPr>
          <w:b/>
        </w:rPr>
        <w:t>s</w:t>
      </w:r>
    </w:p>
    <w:p w:rsidR="00376411" w:rsidRDefault="00376411" w:rsidP="002E7A91">
      <w:pPr>
        <w:pStyle w:val="ListParagraph"/>
      </w:pPr>
    </w:p>
    <w:p w:rsidR="00376411" w:rsidRDefault="008F25D8" w:rsidP="0003327B">
      <w:pPr>
        <w:pStyle w:val="ListParagraph"/>
        <w:numPr>
          <w:ilvl w:val="1"/>
          <w:numId w:val="1"/>
        </w:numPr>
      </w:pPr>
      <w:r>
        <w:t xml:space="preserve">From time to time the DWP and local authorities administering the HB scheme compare their records in an exercise known as “data-matching”.  The results of a data match carried out on 14 July 2009 showed that Mr </w:t>
      </w:r>
      <w:r w:rsidR="005A2224">
        <w:t>Hall</w:t>
      </w:r>
      <w:r>
        <w:t xml:space="preserve"> had started claiming Housing Benefit in the </w:t>
      </w:r>
      <w:proofErr w:type="spellStart"/>
      <w:r w:rsidR="005A2224">
        <w:t>Othertown</w:t>
      </w:r>
      <w:proofErr w:type="spellEnd"/>
      <w:r>
        <w:t xml:space="preserve"> area on 12 May 2009.  This information suggested that he must have moved out of 16 </w:t>
      </w:r>
      <w:r w:rsidR="005A2224">
        <w:t>Any</w:t>
      </w:r>
      <w:r>
        <w:t xml:space="preserve"> Street </w:t>
      </w:r>
      <w:r>
        <w:lastRenderedPageBreak/>
        <w:t xml:space="preserve">earlier than 8 June as previously believed.  See data matching report at Appendix </w:t>
      </w:r>
      <w:r w:rsidR="005146D9">
        <w:t>10</w:t>
      </w:r>
      <w:r>
        <w:t xml:space="preserve">, page </w:t>
      </w:r>
      <w:r w:rsidR="00F76A57">
        <w:t>3</w:t>
      </w:r>
      <w:r w:rsidR="00296BA4">
        <w:t>7</w:t>
      </w:r>
      <w:r>
        <w:t>.</w:t>
      </w:r>
    </w:p>
    <w:p w:rsidR="00376411" w:rsidRDefault="00376411" w:rsidP="00376411">
      <w:pPr>
        <w:pStyle w:val="ListParagraph"/>
      </w:pPr>
    </w:p>
    <w:p w:rsidR="00376411" w:rsidRDefault="008F25D8" w:rsidP="0003327B">
      <w:pPr>
        <w:pStyle w:val="ListParagraph"/>
        <w:numPr>
          <w:ilvl w:val="1"/>
          <w:numId w:val="1"/>
        </w:numPr>
      </w:pPr>
      <w:r>
        <w:t xml:space="preserve">As a result of this new information the Council revised its decisions on 10 September 2009.  The superseding decision ending Mr </w:t>
      </w:r>
      <w:r w:rsidR="005A2224">
        <w:t>Hall</w:t>
      </w:r>
      <w:r>
        <w:t xml:space="preserve">’s award now took effect from 8 May 2009, </w:t>
      </w:r>
      <w:r w:rsidR="008565B2">
        <w:t>extending the overpayment period by exactly one calendar month.  T</w:t>
      </w:r>
      <w:r>
        <w:t xml:space="preserve">he overpayment decision </w:t>
      </w:r>
      <w:r w:rsidR="005146D9">
        <w:t xml:space="preserve">affecting Mr </w:t>
      </w:r>
      <w:r w:rsidR="00277584">
        <w:t>Barker</w:t>
      </w:r>
      <w:r w:rsidR="005146D9">
        <w:t xml:space="preserve"> </w:t>
      </w:r>
      <w:r>
        <w:t xml:space="preserve">was revised </w:t>
      </w:r>
      <w:r w:rsidR="008565B2">
        <w:t>accordingly</w:t>
      </w:r>
      <w:r>
        <w:t xml:space="preserve"> to £</w:t>
      </w:r>
      <w:r w:rsidR="005146D9">
        <w:t>754.29</w:t>
      </w:r>
      <w:r w:rsidR="008565B2">
        <w:t xml:space="preserve"> (the original £400, plus £80 a week converted to a calendar monthly amount)</w:t>
      </w:r>
      <w:r>
        <w:t xml:space="preserve">.  The notice informing Mr </w:t>
      </w:r>
      <w:r w:rsidR="005A2224">
        <w:t>Hall</w:t>
      </w:r>
      <w:r>
        <w:t xml:space="preserve"> of the revised decisions is attached as Appendix </w:t>
      </w:r>
      <w:r w:rsidR="00F76A57">
        <w:t>3</w:t>
      </w:r>
      <w:r>
        <w:t xml:space="preserve"> (page </w:t>
      </w:r>
      <w:r w:rsidR="00296BA4">
        <w:t>17</w:t>
      </w:r>
      <w:r>
        <w:t xml:space="preserve">).  Unfortunately, it does not appear that Mr </w:t>
      </w:r>
      <w:r w:rsidR="00277584">
        <w:t>Barker</w:t>
      </w:r>
      <w:r>
        <w:t xml:space="preserve"> was notified of the revised overpayment decision at the same time. However, in the course of preparing this response the Council has corrected that omission and informed Mr </w:t>
      </w:r>
      <w:r w:rsidR="00277584">
        <w:t>Barker</w:t>
      </w:r>
      <w:r>
        <w:t xml:space="preserve"> of the new overpayment amount (Appendix </w:t>
      </w:r>
      <w:r w:rsidR="00F76A57">
        <w:t>4</w:t>
      </w:r>
      <w:r>
        <w:t xml:space="preserve">, page </w:t>
      </w:r>
      <w:r w:rsidR="00296BA4">
        <w:t>21</w:t>
      </w:r>
      <w:r>
        <w:t xml:space="preserve">).  The Council still considers that the overpayment is recoverable from both Mr </w:t>
      </w:r>
      <w:r w:rsidR="00277584">
        <w:t>Barker</w:t>
      </w:r>
      <w:r>
        <w:t xml:space="preserve"> and Mr </w:t>
      </w:r>
      <w:r w:rsidR="005A2224">
        <w:t>Hall</w:t>
      </w:r>
      <w:r>
        <w:t>:  the only thing that has changed as a result of the revised decision is the amount of the overpayment, which has increased.  As this revision is not to the advantage of the appellant, the appeal does not lapse</w:t>
      </w:r>
      <w:r w:rsidR="000D5CD8">
        <w:t>.</w:t>
      </w:r>
    </w:p>
    <w:p w:rsidR="00EA1C85" w:rsidRDefault="00EA1C85" w:rsidP="00EA1C85">
      <w:pPr>
        <w:pStyle w:val="ListParagraph"/>
      </w:pPr>
    </w:p>
    <w:p w:rsidR="002603DC" w:rsidRDefault="002603DC" w:rsidP="002603DC">
      <w:pPr>
        <w:pStyle w:val="ListParagraph"/>
      </w:pPr>
    </w:p>
    <w:p w:rsidR="002603DC" w:rsidRPr="002603DC" w:rsidRDefault="002603DC" w:rsidP="002603DC">
      <w:pPr>
        <w:pStyle w:val="ListParagraph"/>
        <w:numPr>
          <w:ilvl w:val="0"/>
          <w:numId w:val="1"/>
        </w:numPr>
        <w:rPr>
          <w:b/>
          <w:sz w:val="32"/>
        </w:rPr>
      </w:pPr>
      <w:r>
        <w:rPr>
          <w:b/>
          <w:sz w:val="32"/>
        </w:rPr>
        <w:t>Legislation</w:t>
      </w:r>
    </w:p>
    <w:p w:rsidR="002603DC" w:rsidRDefault="002603DC" w:rsidP="002603DC">
      <w:pPr>
        <w:pStyle w:val="ListParagraph"/>
      </w:pPr>
    </w:p>
    <w:p w:rsidR="000D5CD8" w:rsidRPr="006F6ACA" w:rsidRDefault="000D5CD8" w:rsidP="000D5CD8">
      <w:pPr>
        <w:pStyle w:val="ListParagraph"/>
        <w:ind w:left="0"/>
        <w:rPr>
          <w:b/>
        </w:rPr>
      </w:pPr>
      <w:r>
        <w:rPr>
          <w:b/>
        </w:rPr>
        <w:t>Entitlement to Housing Benefit</w:t>
      </w:r>
    </w:p>
    <w:p w:rsidR="006F6ACA" w:rsidRDefault="006F6ACA" w:rsidP="006F6ACA">
      <w:pPr>
        <w:pStyle w:val="ListParagraph"/>
        <w:ind w:left="0"/>
        <w:rPr>
          <w:b/>
        </w:rPr>
      </w:pPr>
      <w:r>
        <w:rPr>
          <w:b/>
        </w:rPr>
        <w:t>Primary legislation</w:t>
      </w:r>
    </w:p>
    <w:p w:rsidR="006F6ACA" w:rsidRDefault="006F6ACA" w:rsidP="002603DC">
      <w:pPr>
        <w:pStyle w:val="ListParagraph"/>
      </w:pPr>
    </w:p>
    <w:p w:rsidR="002603DC" w:rsidRDefault="002603DC" w:rsidP="00B419F7">
      <w:pPr>
        <w:pStyle w:val="ListParagraph"/>
        <w:numPr>
          <w:ilvl w:val="1"/>
          <w:numId w:val="1"/>
        </w:numPr>
        <w:ind w:left="709" w:hanging="425"/>
      </w:pPr>
      <w:r>
        <w:t xml:space="preserve">Section </w:t>
      </w:r>
      <w:r w:rsidR="00B419F7">
        <w:t xml:space="preserve">130(1) of the Social Security Contributions and Benefits Act 1992 sets out the threshold conditions of entitlement to HB (Appendix </w:t>
      </w:r>
      <w:r w:rsidR="00D71404">
        <w:t>1</w:t>
      </w:r>
      <w:r w:rsidR="00296BA4">
        <w:t>1</w:t>
      </w:r>
      <w:r w:rsidR="000E093C">
        <w:t xml:space="preserve">, page </w:t>
      </w:r>
      <w:r w:rsidR="00296BA4">
        <w:t>41</w:t>
      </w:r>
      <w:r w:rsidR="00B419F7">
        <w:t>).  A person is entitled to HB if he is liable to make payments in respect of the dwelling that he occupies as home, subject to a means test.</w:t>
      </w:r>
    </w:p>
    <w:p w:rsidR="002603DC" w:rsidRDefault="002603DC" w:rsidP="002603DC">
      <w:pPr>
        <w:pStyle w:val="ListParagraph"/>
      </w:pPr>
    </w:p>
    <w:p w:rsidR="000D5CD8" w:rsidRDefault="002603DC" w:rsidP="006F6ACA">
      <w:pPr>
        <w:pStyle w:val="ListParagraph"/>
        <w:numPr>
          <w:ilvl w:val="1"/>
          <w:numId w:val="1"/>
        </w:numPr>
        <w:ind w:left="709" w:hanging="425"/>
      </w:pPr>
      <w:r>
        <w:t>S</w:t>
      </w:r>
      <w:r w:rsidR="00B419F7">
        <w:t>ec</w:t>
      </w:r>
      <w:r>
        <w:t xml:space="preserve">tion </w:t>
      </w:r>
      <w:r w:rsidR="00B419F7">
        <w:t xml:space="preserve">137(2) of the Act (Appendix </w:t>
      </w:r>
      <w:r w:rsidR="000D5CD8">
        <w:t>1</w:t>
      </w:r>
      <w:r w:rsidR="00296BA4">
        <w:t>2</w:t>
      </w:r>
      <w:r w:rsidR="00B419F7">
        <w:t xml:space="preserve">, page </w:t>
      </w:r>
      <w:r w:rsidR="00296BA4">
        <w:t>43</w:t>
      </w:r>
      <w:r w:rsidR="00B419F7">
        <w:t>)</w:t>
      </w:r>
      <w:r>
        <w:t xml:space="preserve"> </w:t>
      </w:r>
      <w:r w:rsidR="00B419F7">
        <w:t xml:space="preserve">allows the Secretary of State to prescribe circumstances in which a person </w:t>
      </w:r>
      <w:r w:rsidR="000D5CD8">
        <w:t>is or is not to be treated as occupying a dwelling as his home</w:t>
      </w:r>
      <w:r w:rsidR="00B419F7">
        <w:t>.</w:t>
      </w:r>
    </w:p>
    <w:p w:rsidR="000D5CD8" w:rsidRDefault="000D5CD8" w:rsidP="000D5CD8">
      <w:pPr>
        <w:pStyle w:val="ListParagraph"/>
      </w:pPr>
    </w:p>
    <w:p w:rsidR="000D5CD8" w:rsidRPr="000D5CD8" w:rsidRDefault="000D5CD8" w:rsidP="000D5CD8">
      <w:pPr>
        <w:pStyle w:val="ListParagraph"/>
        <w:ind w:left="0"/>
        <w:rPr>
          <w:b/>
        </w:rPr>
      </w:pPr>
      <w:r>
        <w:rPr>
          <w:b/>
        </w:rPr>
        <w:t>Regulations</w:t>
      </w:r>
    </w:p>
    <w:p w:rsidR="000D5CD8" w:rsidRDefault="000D5CD8" w:rsidP="000D5CD8">
      <w:pPr>
        <w:pStyle w:val="ListParagraph"/>
      </w:pPr>
    </w:p>
    <w:p w:rsidR="000D5CD8" w:rsidRDefault="000D5CD8" w:rsidP="006F6ACA">
      <w:pPr>
        <w:pStyle w:val="ListParagraph"/>
        <w:numPr>
          <w:ilvl w:val="1"/>
          <w:numId w:val="1"/>
        </w:numPr>
        <w:ind w:left="709" w:hanging="425"/>
      </w:pPr>
      <w:r>
        <w:t>Regulation 7 of the Housing Benefit Regulat</w:t>
      </w:r>
      <w:r w:rsidR="00F76A57">
        <w:t>ions 2006 (Appendix 1</w:t>
      </w:r>
      <w:r w:rsidR="00296BA4">
        <w:t>3</w:t>
      </w:r>
      <w:r>
        <w:t xml:space="preserve">, page </w:t>
      </w:r>
      <w:r w:rsidR="00F76A57">
        <w:t>4</w:t>
      </w:r>
      <w:r w:rsidR="00296BA4">
        <w:t>5</w:t>
      </w:r>
      <w:r>
        <w:t xml:space="preserve">) prescribes the circumstances in which a person is </w:t>
      </w:r>
      <w:r w:rsidR="008565B2">
        <w:t>o</w:t>
      </w:r>
      <w:r>
        <w:t>r is not to be treated as occupying a dwelling as his home.  Regulation 7(1) and (2) say that, unless the provisions in th</w:t>
      </w:r>
      <w:r w:rsidR="00C00AB4">
        <w:t>e</w:t>
      </w:r>
      <w:r>
        <w:t xml:space="preserve"> remaining paragraphs of Reg 7 apply, the claimant is to be treated as occupying only one dwelling as his home, that being the one that he normally occupies.</w:t>
      </w:r>
    </w:p>
    <w:p w:rsidR="000D5CD8" w:rsidRDefault="000D5CD8" w:rsidP="000D5CD8">
      <w:pPr>
        <w:pStyle w:val="ListParagraph"/>
      </w:pPr>
    </w:p>
    <w:p w:rsidR="000D5CD8" w:rsidRDefault="000D5CD8" w:rsidP="006F6ACA">
      <w:pPr>
        <w:pStyle w:val="ListParagraph"/>
        <w:numPr>
          <w:ilvl w:val="1"/>
          <w:numId w:val="1"/>
        </w:numPr>
        <w:ind w:left="709" w:hanging="425"/>
      </w:pPr>
      <w:r>
        <w:t>Reg 7(6) prescribes circumstances in which a person may be treated as occupying more than one dwelling, including a case where the claimant has moved to a new dwelling but could not reasonably have avoided remaining liable for up to four weeks to make payments for his former dwelling.</w:t>
      </w:r>
    </w:p>
    <w:p w:rsidR="000D5CD8" w:rsidRDefault="000D5CD8" w:rsidP="000D5CD8">
      <w:pPr>
        <w:pStyle w:val="ListParagraph"/>
      </w:pPr>
    </w:p>
    <w:p w:rsidR="000A28C0" w:rsidRDefault="000A28C0" w:rsidP="000D5CD8">
      <w:pPr>
        <w:pStyle w:val="ListParagraph"/>
        <w:ind w:left="0"/>
        <w:rPr>
          <w:b/>
        </w:rPr>
      </w:pPr>
    </w:p>
    <w:p w:rsidR="00C06265" w:rsidRDefault="00C06265" w:rsidP="000D5CD8">
      <w:pPr>
        <w:pStyle w:val="ListParagraph"/>
        <w:ind w:left="0"/>
        <w:rPr>
          <w:b/>
        </w:rPr>
      </w:pPr>
    </w:p>
    <w:p w:rsidR="000D5CD8" w:rsidRDefault="000D5CD8" w:rsidP="000D5CD8">
      <w:pPr>
        <w:pStyle w:val="ListParagraph"/>
        <w:ind w:left="0"/>
        <w:rPr>
          <w:b/>
        </w:rPr>
      </w:pPr>
      <w:r w:rsidRPr="000D5CD8">
        <w:rPr>
          <w:b/>
        </w:rPr>
        <w:lastRenderedPageBreak/>
        <w:t>Overpayments of Housing Benefit</w:t>
      </w:r>
    </w:p>
    <w:p w:rsidR="000D5CD8" w:rsidRDefault="000D5CD8" w:rsidP="000D5CD8">
      <w:pPr>
        <w:pStyle w:val="ListParagraph"/>
        <w:ind w:left="0"/>
        <w:rPr>
          <w:b/>
        </w:rPr>
      </w:pPr>
      <w:r>
        <w:rPr>
          <w:b/>
        </w:rPr>
        <w:t>Primary legislation</w:t>
      </w:r>
    </w:p>
    <w:p w:rsidR="000D5CD8" w:rsidRDefault="000D5CD8" w:rsidP="000D5CD8">
      <w:pPr>
        <w:pStyle w:val="ListParagraph"/>
        <w:ind w:left="0"/>
      </w:pPr>
    </w:p>
    <w:p w:rsidR="000D5CD8" w:rsidRDefault="000D5CD8" w:rsidP="006F6ACA">
      <w:pPr>
        <w:pStyle w:val="ListParagraph"/>
        <w:numPr>
          <w:ilvl w:val="1"/>
          <w:numId w:val="1"/>
        </w:numPr>
        <w:ind w:left="709" w:hanging="425"/>
      </w:pPr>
      <w:r>
        <w:t>Section 75 of the Social Security Administration Act 1992 (Appen</w:t>
      </w:r>
      <w:r w:rsidR="00296BA4">
        <w:t>dix 14</w:t>
      </w:r>
      <w:r>
        <w:t xml:space="preserve">, page </w:t>
      </w:r>
      <w:r w:rsidR="00296BA4">
        <w:t>48</w:t>
      </w:r>
      <w:r>
        <w:t>) governs recovery of HB overpayments.   Subsection (1) provides that an overpayment is recoverable except where Regulations provide otherwise.  Subsection (3</w:t>
      </w:r>
      <w:proofErr w:type="gramStart"/>
      <w:r>
        <w:t>)(</w:t>
      </w:r>
      <w:proofErr w:type="gramEnd"/>
      <w:r>
        <w:t>a) provides that an overpayment is recoverable by default from the person to whom it was paid, except where Regulations provide otherwise; and subsection (3)(b) provides that Regulations may prescribe other persons from whom an overpayment is recoverable as well as, or instead of, the person who received it.</w:t>
      </w:r>
    </w:p>
    <w:p w:rsidR="000D5CD8" w:rsidRDefault="000D5CD8" w:rsidP="000D5CD8">
      <w:pPr>
        <w:pStyle w:val="ListParagraph"/>
      </w:pPr>
    </w:p>
    <w:p w:rsidR="000D5CD8" w:rsidRPr="007C5813" w:rsidRDefault="007C5813" w:rsidP="000D5CD8">
      <w:pPr>
        <w:pStyle w:val="ListParagraph"/>
        <w:ind w:left="0"/>
        <w:rPr>
          <w:b/>
        </w:rPr>
      </w:pPr>
      <w:r>
        <w:rPr>
          <w:b/>
        </w:rPr>
        <w:t>Regulations</w:t>
      </w:r>
    </w:p>
    <w:p w:rsidR="000D5CD8" w:rsidRDefault="000D5CD8" w:rsidP="000D5CD8">
      <w:pPr>
        <w:pStyle w:val="ListParagraph"/>
      </w:pPr>
    </w:p>
    <w:p w:rsidR="000D5CD8" w:rsidRDefault="00644211" w:rsidP="006F6ACA">
      <w:pPr>
        <w:pStyle w:val="ListParagraph"/>
        <w:numPr>
          <w:ilvl w:val="1"/>
          <w:numId w:val="1"/>
        </w:numPr>
        <w:ind w:left="709" w:hanging="425"/>
      </w:pPr>
      <w:r>
        <w:t>Regulation 100 of the HB Regs 2006 (Appendix 1</w:t>
      </w:r>
      <w:r w:rsidR="00296BA4">
        <w:t>5</w:t>
      </w:r>
      <w:r>
        <w:t xml:space="preserve">, page </w:t>
      </w:r>
      <w:r w:rsidR="00296BA4">
        <w:t>50</w:t>
      </w:r>
      <w:r>
        <w:t>) prescribes circumstances in which an overpayment is not recoverable.  An overpayment caused by official error is not recoverable if neither the claimant nor the person who received the money could reasonably have been expected to realise at the time when the payment was made, or at the time of any notice relating to the payment, that it was an overpayment.</w:t>
      </w:r>
    </w:p>
    <w:p w:rsidR="000D5CD8" w:rsidRDefault="000D5CD8" w:rsidP="000D5CD8">
      <w:pPr>
        <w:pStyle w:val="ListParagraph"/>
      </w:pPr>
    </w:p>
    <w:p w:rsidR="000D5CD8" w:rsidRDefault="00644211" w:rsidP="006F6ACA">
      <w:pPr>
        <w:pStyle w:val="ListParagraph"/>
        <w:numPr>
          <w:ilvl w:val="1"/>
          <w:numId w:val="1"/>
        </w:numPr>
        <w:ind w:left="709" w:hanging="425"/>
      </w:pPr>
      <w:r>
        <w:t>Regulation 101 (Appendix 1</w:t>
      </w:r>
      <w:r w:rsidR="00296BA4">
        <w:t>6</w:t>
      </w:r>
      <w:r>
        <w:t xml:space="preserve">, page </w:t>
      </w:r>
      <w:r w:rsidR="00296BA4">
        <w:t>52</w:t>
      </w:r>
      <w:r>
        <w:t xml:space="preserve">) is made under </w:t>
      </w:r>
      <w:proofErr w:type="gramStart"/>
      <w:r>
        <w:t>s75(</w:t>
      </w:r>
      <w:proofErr w:type="gramEnd"/>
      <w:r>
        <w:t xml:space="preserve">3) of the Administration Act and prescribes the person from whom an overpayment may be recovered.  Paragraph (1) is made under </w:t>
      </w:r>
      <w:proofErr w:type="gramStart"/>
      <w:r w:rsidR="00C00AB4">
        <w:t>s</w:t>
      </w:r>
      <w:r>
        <w:t>75(</w:t>
      </w:r>
      <w:proofErr w:type="gramEnd"/>
      <w:r>
        <w:t xml:space="preserve">3)(a): an overpayment is not recoverable from a landlord in certain cases where the landlord alerts the Council to suspected fraudulent action by the claimant.  Paragraph (2) is made under </w:t>
      </w:r>
      <w:proofErr w:type="gramStart"/>
      <w:r>
        <w:t>s75(</w:t>
      </w:r>
      <w:proofErr w:type="gramEnd"/>
      <w:r>
        <w:t>3)</w:t>
      </w:r>
      <w:r w:rsidR="00304D1A">
        <w:t xml:space="preserve">(a) and </w:t>
      </w:r>
      <w:r>
        <w:t>(b) and prescribes persons from whom an overpayment is recoverable as well as or instead of the person who received it.  Paragraph (2) can be summarised as follows:</w:t>
      </w:r>
    </w:p>
    <w:p w:rsidR="00644211" w:rsidRDefault="00644211" w:rsidP="00644211">
      <w:pPr>
        <w:pStyle w:val="ListParagraph"/>
      </w:pPr>
    </w:p>
    <w:p w:rsidR="00644211" w:rsidRDefault="00644211" w:rsidP="00644211">
      <w:pPr>
        <w:pStyle w:val="ListParagraph"/>
        <w:numPr>
          <w:ilvl w:val="0"/>
          <w:numId w:val="21"/>
        </w:numPr>
      </w:pPr>
      <w:r>
        <w:t xml:space="preserve">Where an overpayment has been caused by someone’s failure to disclose a material fact, or misrepresentation of a material fact, the overpayment is </w:t>
      </w:r>
      <w:r w:rsidRPr="00644211">
        <w:rPr>
          <w:b/>
        </w:rPr>
        <w:t>only</w:t>
      </w:r>
      <w:r>
        <w:t xml:space="preserve"> recoverable from that person instead of the person who received the money (if different)</w:t>
      </w:r>
    </w:p>
    <w:p w:rsidR="00644211" w:rsidRDefault="00644211" w:rsidP="00644211">
      <w:pPr>
        <w:pStyle w:val="ListParagraph"/>
        <w:numPr>
          <w:ilvl w:val="0"/>
          <w:numId w:val="21"/>
        </w:numPr>
      </w:pPr>
      <w:r>
        <w:t xml:space="preserve">Where an overpayment is caused by an official error, but is nevertheless recoverable because someone should have realised there was an overpayment, the overpayment is </w:t>
      </w:r>
      <w:r w:rsidRPr="00644211">
        <w:rPr>
          <w:b/>
        </w:rPr>
        <w:t>only</w:t>
      </w:r>
      <w:r>
        <w:t xml:space="preserve"> recoverable from the person who should have known instead of the person who received the money (if different)</w:t>
      </w:r>
    </w:p>
    <w:p w:rsidR="00644211" w:rsidRDefault="00644211" w:rsidP="00644211">
      <w:pPr>
        <w:pStyle w:val="ListParagraph"/>
        <w:numPr>
          <w:ilvl w:val="0"/>
          <w:numId w:val="21"/>
        </w:numPr>
      </w:pPr>
      <w:r>
        <w:t xml:space="preserve">Where an overpayment arises for any other reason, it is recoverable from </w:t>
      </w:r>
      <w:r w:rsidRPr="00644211">
        <w:rPr>
          <w:b/>
        </w:rPr>
        <w:t>both</w:t>
      </w:r>
      <w:r>
        <w:t xml:space="preserve"> the claimant </w:t>
      </w:r>
      <w:r w:rsidRPr="00644211">
        <w:rPr>
          <w:b/>
        </w:rPr>
        <w:t>and</w:t>
      </w:r>
      <w:r>
        <w:t xml:space="preserve"> the person who received the money.</w:t>
      </w:r>
    </w:p>
    <w:p w:rsidR="00644211" w:rsidRDefault="00644211" w:rsidP="00644211">
      <w:pPr>
        <w:pStyle w:val="ListParagraph"/>
      </w:pPr>
    </w:p>
    <w:p w:rsidR="009C36FC" w:rsidRPr="009C36FC" w:rsidRDefault="009C36FC" w:rsidP="009C36FC">
      <w:pPr>
        <w:pStyle w:val="ListParagraph"/>
        <w:ind w:left="0"/>
        <w:rPr>
          <w:b/>
        </w:rPr>
      </w:pPr>
      <w:r>
        <w:rPr>
          <w:b/>
        </w:rPr>
        <w:t>Interaction between paragraphs (1) and (2) of Regulation 101</w:t>
      </w:r>
    </w:p>
    <w:p w:rsidR="009C36FC" w:rsidRDefault="009C36FC" w:rsidP="00644211">
      <w:pPr>
        <w:pStyle w:val="ListParagraph"/>
      </w:pPr>
    </w:p>
    <w:p w:rsidR="00644211" w:rsidRDefault="009C36FC" w:rsidP="006F6ACA">
      <w:pPr>
        <w:pStyle w:val="ListParagraph"/>
        <w:numPr>
          <w:ilvl w:val="1"/>
          <w:numId w:val="1"/>
        </w:numPr>
        <w:ind w:left="709" w:hanging="425"/>
      </w:pPr>
      <w:bookmarkStart w:id="43" w:name="_Ref245788866"/>
      <w:r>
        <w:t xml:space="preserve">On first reading, Reg 101(1) imposes a series of conditions which must all be met before a landlord can escape liability for repayment of an HB overpayment made to him on his tenant’s behalf:  unless the claimant has indulged in suspected fraud, and unless it is the landlord who brings the matter to the Council’s attention, the overpayment will always be recoverable </w:t>
      </w:r>
      <w:r>
        <w:lastRenderedPageBreak/>
        <w:t xml:space="preserve">from the landlord as the person who received the money under </w:t>
      </w:r>
      <w:proofErr w:type="gramStart"/>
      <w:r>
        <w:t>s75(</w:t>
      </w:r>
      <w:proofErr w:type="gramEnd"/>
      <w:r>
        <w:t>3) of the Act.</w:t>
      </w:r>
      <w:bookmarkEnd w:id="43"/>
    </w:p>
    <w:p w:rsidR="009C36FC" w:rsidRDefault="009C36FC" w:rsidP="009C36FC">
      <w:pPr>
        <w:pStyle w:val="ListParagraph"/>
        <w:ind w:left="284"/>
      </w:pPr>
    </w:p>
    <w:p w:rsidR="009C36FC" w:rsidRDefault="009C36FC" w:rsidP="006F6ACA">
      <w:pPr>
        <w:pStyle w:val="ListParagraph"/>
        <w:numPr>
          <w:ilvl w:val="1"/>
          <w:numId w:val="1"/>
        </w:numPr>
        <w:ind w:left="709" w:hanging="425"/>
      </w:pPr>
      <w:r>
        <w:t xml:space="preserve">However, the Council would suggest that Reg 101(2), made under </w:t>
      </w:r>
      <w:proofErr w:type="gramStart"/>
      <w:r>
        <w:t>s75(</w:t>
      </w:r>
      <w:proofErr w:type="gramEnd"/>
      <w:r>
        <w:t>3)</w:t>
      </w:r>
      <w:r w:rsidR="00304D1A" w:rsidRPr="00304D1A">
        <w:rPr>
          <w:b/>
        </w:rPr>
        <w:t xml:space="preserve">(a) and </w:t>
      </w:r>
      <w:r w:rsidRPr="00304D1A">
        <w:rPr>
          <w:b/>
        </w:rPr>
        <w:t>(b)</w:t>
      </w:r>
      <w:r>
        <w:t xml:space="preserve">, operates independently of Reg 101(1).  Thus, if the overpayment is caused by the claimant’s innocent mistake, it is only recoverable from him instead of the landlord; and if the overpayment is caused by a Council error which </w:t>
      </w:r>
      <w:r w:rsidRPr="009C36FC">
        <w:rPr>
          <w:b/>
        </w:rPr>
        <w:t>only</w:t>
      </w:r>
      <w:r>
        <w:t xml:space="preserve"> the claimant could have been expected to notice, it is recoverable </w:t>
      </w:r>
      <w:r w:rsidRPr="009C36FC">
        <w:rPr>
          <w:b/>
        </w:rPr>
        <w:t>only</w:t>
      </w:r>
      <w:r>
        <w:t xml:space="preserve"> from him instead of the landlord.</w:t>
      </w:r>
    </w:p>
    <w:p w:rsidR="000D5CD8" w:rsidRDefault="000D5CD8" w:rsidP="000D5CD8">
      <w:pPr>
        <w:pStyle w:val="ListParagraph"/>
      </w:pPr>
    </w:p>
    <w:p w:rsidR="006F6ACA" w:rsidRDefault="009C36FC" w:rsidP="006F6ACA">
      <w:pPr>
        <w:pStyle w:val="ListParagraph"/>
        <w:numPr>
          <w:ilvl w:val="1"/>
          <w:numId w:val="1"/>
        </w:numPr>
        <w:ind w:left="709" w:hanging="425"/>
      </w:pPr>
      <w:bookmarkStart w:id="44" w:name="_Ref245788878"/>
      <w:r>
        <w:t>The Council suggests that the above interpretation is supported by paragraph</w:t>
      </w:r>
      <w:r w:rsidR="00B9360A">
        <w:t xml:space="preserve">s 45 to 52 of </w:t>
      </w:r>
      <w:proofErr w:type="gramStart"/>
      <w:r w:rsidR="00B9360A">
        <w:t>R(</w:t>
      </w:r>
      <w:proofErr w:type="gramEnd"/>
      <w:r w:rsidR="00B9360A">
        <w:t>H) 6/06 (Appendix 1</w:t>
      </w:r>
      <w:r w:rsidR="00296BA4">
        <w:t>7</w:t>
      </w:r>
      <w:r w:rsidR="00B9360A">
        <w:t xml:space="preserve">, page </w:t>
      </w:r>
      <w:r w:rsidR="00F76A57">
        <w:t>5</w:t>
      </w:r>
      <w:r w:rsidR="00296BA4">
        <w:t>5</w:t>
      </w:r>
      <w:r w:rsidR="00B9360A">
        <w:t>).  While Reg 101 itself has been amended twice since the Tribunal of Commissioners gave</w:t>
      </w:r>
      <w:r w:rsidR="00B419F7">
        <w:t xml:space="preserve"> </w:t>
      </w:r>
      <w:r w:rsidR="00B9360A">
        <w:t>its decision in R(H) 6/06, s75(3) remains the same and so the Council suggests that the comments in the cited extract remain good authority for viewing Reg 101(2) in isolation from Reg 101(1).</w:t>
      </w:r>
      <w:bookmarkEnd w:id="44"/>
    </w:p>
    <w:p w:rsidR="00B419F7" w:rsidRDefault="00B419F7" w:rsidP="006F6ACA">
      <w:pPr>
        <w:pStyle w:val="ListParagraph"/>
        <w:ind w:left="0"/>
        <w:rPr>
          <w:b/>
        </w:rPr>
      </w:pPr>
    </w:p>
    <w:p w:rsidR="007E0365" w:rsidRDefault="007E0365" w:rsidP="007E0365">
      <w:pPr>
        <w:pStyle w:val="ListParagraph"/>
      </w:pPr>
    </w:p>
    <w:p w:rsidR="00E13370" w:rsidRDefault="00E13370" w:rsidP="006F6ACA">
      <w:pPr>
        <w:pStyle w:val="ListParagraph"/>
      </w:pPr>
    </w:p>
    <w:p w:rsidR="000B3FAE" w:rsidRDefault="000B3FAE" w:rsidP="006F6ACA">
      <w:pPr>
        <w:pStyle w:val="ListParagraph"/>
      </w:pPr>
    </w:p>
    <w:p w:rsidR="006F6ACA" w:rsidRPr="00E13370" w:rsidRDefault="00E13370" w:rsidP="00E13370">
      <w:pPr>
        <w:pStyle w:val="ListParagraph"/>
        <w:numPr>
          <w:ilvl w:val="0"/>
          <w:numId w:val="1"/>
        </w:numPr>
        <w:rPr>
          <w:b/>
          <w:sz w:val="32"/>
        </w:rPr>
      </w:pPr>
      <w:r>
        <w:rPr>
          <w:b/>
          <w:sz w:val="32"/>
        </w:rPr>
        <w:t>The Council’s submission in support of its decision</w:t>
      </w:r>
    </w:p>
    <w:p w:rsidR="00E13370" w:rsidRDefault="00E13370" w:rsidP="00E13370">
      <w:pPr>
        <w:pStyle w:val="ListParagraph"/>
      </w:pPr>
    </w:p>
    <w:p w:rsidR="00E13370" w:rsidRPr="00E13370" w:rsidRDefault="00B9360A" w:rsidP="00E13370">
      <w:pPr>
        <w:pStyle w:val="ListParagraph"/>
        <w:ind w:left="0"/>
        <w:rPr>
          <w:b/>
        </w:rPr>
      </w:pPr>
      <w:r>
        <w:rPr>
          <w:b/>
        </w:rPr>
        <w:t>Adjudication</w:t>
      </w:r>
    </w:p>
    <w:p w:rsidR="00E13370" w:rsidRDefault="00E13370" w:rsidP="00E13370">
      <w:pPr>
        <w:pStyle w:val="ListParagraph"/>
      </w:pPr>
    </w:p>
    <w:p w:rsidR="00C757F0" w:rsidRDefault="00E13370" w:rsidP="002603DC">
      <w:pPr>
        <w:pStyle w:val="ListParagraph"/>
        <w:numPr>
          <w:ilvl w:val="1"/>
          <w:numId w:val="1"/>
        </w:numPr>
        <w:ind w:left="709" w:hanging="425"/>
      </w:pPr>
      <w:r>
        <w:t xml:space="preserve">The Council </w:t>
      </w:r>
      <w:r w:rsidR="00B9360A">
        <w:t xml:space="preserve">submits that it had grounds to make a superseding decision ending Mr </w:t>
      </w:r>
      <w:r w:rsidR="005A2224">
        <w:t>Hall</w:t>
      </w:r>
      <w:r w:rsidR="00B9360A">
        <w:t>’s HB entitlement on the grounds that there had been a change of circum</w:t>
      </w:r>
      <w:r w:rsidR="007F62B8">
        <w:t>stance in that he had ceased to</w:t>
      </w:r>
      <w:r w:rsidR="00B9360A">
        <w:t xml:space="preserve"> satisfy the threshold condition of occupying 16 </w:t>
      </w:r>
      <w:r w:rsidR="005A2224">
        <w:t>Any</w:t>
      </w:r>
      <w:r w:rsidR="00B9360A">
        <w:t xml:space="preserve"> Street as his home, even if he remained liable to make payments in respect of that address</w:t>
      </w:r>
      <w:r w:rsidR="008D0C71">
        <w:t>.</w:t>
      </w:r>
      <w:r w:rsidR="007F62B8">
        <w:t xml:space="preserve">  While the date on which Mr </w:t>
      </w:r>
      <w:r w:rsidR="005A2224">
        <w:t>Hall</w:t>
      </w:r>
      <w:r w:rsidR="007F62B8">
        <w:t xml:space="preserve"> ceased to occupy the dwelling remains a matter of contention, the grounds for making a superseding decision are the same irrespective of the effective date of that decision.</w:t>
      </w:r>
    </w:p>
    <w:p w:rsidR="00C757F0" w:rsidRDefault="00C757F0" w:rsidP="00C757F0">
      <w:pPr>
        <w:pStyle w:val="ListParagraph"/>
        <w:ind w:left="284"/>
      </w:pPr>
    </w:p>
    <w:p w:rsidR="00C757F0" w:rsidRDefault="00337823" w:rsidP="002603DC">
      <w:pPr>
        <w:pStyle w:val="ListParagraph"/>
        <w:numPr>
          <w:ilvl w:val="1"/>
          <w:numId w:val="1"/>
        </w:numPr>
        <w:ind w:left="709" w:hanging="425"/>
      </w:pPr>
      <w:r>
        <w:t xml:space="preserve">The </w:t>
      </w:r>
      <w:r w:rsidR="007F62B8">
        <w:t xml:space="preserve">Council submits that it has correctly notified both Mr </w:t>
      </w:r>
      <w:r w:rsidR="005A2224">
        <w:t>Hall</w:t>
      </w:r>
      <w:r w:rsidR="007F62B8">
        <w:t xml:space="preserve"> and Mr </w:t>
      </w:r>
      <w:r w:rsidR="00277584">
        <w:t>Barker</w:t>
      </w:r>
      <w:r w:rsidR="007F62B8">
        <w:t xml:space="preserve"> of the decision that there has, as a consequence of the superseding decision referred to above, been an overpayment of HB that is recoverable from them both; and, despite the fact that notices w</w:t>
      </w:r>
      <w:r w:rsidR="004F3F8F">
        <w:t>e</w:t>
      </w:r>
      <w:r w:rsidR="007F62B8">
        <w:t>re issued on different dates, the Council submits that it has now properly informed both parties of the revision of the overpayment amount from £</w:t>
      </w:r>
      <w:r w:rsidR="008565B2">
        <w:t>400</w:t>
      </w:r>
      <w:r w:rsidR="007F62B8">
        <w:t xml:space="preserve"> to £</w:t>
      </w:r>
      <w:r w:rsidR="008565B2">
        <w:t>754</w:t>
      </w:r>
      <w:r w:rsidR="007F62B8">
        <w:t>.</w:t>
      </w:r>
      <w:r w:rsidR="008565B2">
        <w:t>29.</w:t>
      </w:r>
      <w:r w:rsidR="004F3F8F">
        <w:t xml:space="preserve">  Any residual prejudice caused to either party by any delays or flaws in the notification process has, the Council submits, been remedied by the provision of this response to both of them in time for the hearing of Mr </w:t>
      </w:r>
      <w:r w:rsidR="00277584">
        <w:t>Barker</w:t>
      </w:r>
      <w:r w:rsidR="004F3F8F">
        <w:t>’s appeal</w:t>
      </w:r>
    </w:p>
    <w:p w:rsidR="00C757F0" w:rsidRDefault="00C757F0" w:rsidP="00C757F0">
      <w:pPr>
        <w:pStyle w:val="ListParagraph"/>
      </w:pPr>
    </w:p>
    <w:p w:rsidR="0011695B" w:rsidRPr="0011695B" w:rsidRDefault="0011695B" w:rsidP="0011695B">
      <w:pPr>
        <w:pStyle w:val="ListParagraph"/>
        <w:ind w:left="0"/>
        <w:rPr>
          <w:b/>
        </w:rPr>
      </w:pPr>
      <w:r>
        <w:rPr>
          <w:b/>
        </w:rPr>
        <w:t xml:space="preserve">Date on which Mr </w:t>
      </w:r>
      <w:r w:rsidR="005A2224">
        <w:rPr>
          <w:b/>
        </w:rPr>
        <w:t>Hall</w:t>
      </w:r>
      <w:r>
        <w:rPr>
          <w:b/>
        </w:rPr>
        <w:t xml:space="preserve"> ceased to occupy the dwelling</w:t>
      </w:r>
    </w:p>
    <w:p w:rsidR="0011695B" w:rsidRDefault="0011695B" w:rsidP="00C757F0">
      <w:pPr>
        <w:pStyle w:val="ListParagraph"/>
      </w:pPr>
    </w:p>
    <w:p w:rsidR="00AC0D22" w:rsidRDefault="00C757F0" w:rsidP="002603DC">
      <w:pPr>
        <w:pStyle w:val="ListParagraph"/>
        <w:numPr>
          <w:ilvl w:val="1"/>
          <w:numId w:val="1"/>
        </w:numPr>
        <w:ind w:left="709" w:hanging="425"/>
      </w:pPr>
      <w:r>
        <w:t xml:space="preserve">The </w:t>
      </w:r>
      <w:r w:rsidR="004F3F8F">
        <w:t xml:space="preserve">notice issued to the Council by the DWP on 26 June 2009 (Appendix </w:t>
      </w:r>
      <w:r w:rsidR="00296BA4">
        <w:t>7</w:t>
      </w:r>
      <w:r w:rsidR="004F3F8F">
        <w:t xml:space="preserve">, page </w:t>
      </w:r>
      <w:r w:rsidR="00F76A57">
        <w:t>2</w:t>
      </w:r>
      <w:r w:rsidR="00296BA4">
        <w:t>9</w:t>
      </w:r>
      <w:r w:rsidR="004F3F8F">
        <w:t xml:space="preserve">) gives 5 June as the date on which the DWP changed Mr </w:t>
      </w:r>
      <w:r w:rsidR="005A2224">
        <w:t>Hall</w:t>
      </w:r>
      <w:r w:rsidR="004F3F8F">
        <w:t xml:space="preserve">’s address in its records.  But the Council would submit that the more compelling evidence of the date of Mr </w:t>
      </w:r>
      <w:r w:rsidR="005A2224">
        <w:t>Hall</w:t>
      </w:r>
      <w:r w:rsidR="004F3F8F">
        <w:t xml:space="preserve">’s move is the data matching report showing </w:t>
      </w:r>
      <w:r w:rsidR="004F3F8F">
        <w:lastRenderedPageBreak/>
        <w:t xml:space="preserve">that he had started to claim HB from </w:t>
      </w:r>
      <w:proofErr w:type="spellStart"/>
      <w:r w:rsidR="005A2224">
        <w:t>Othertown</w:t>
      </w:r>
      <w:proofErr w:type="spellEnd"/>
      <w:r w:rsidR="004F3F8F">
        <w:t xml:space="preserve"> City Council as early as 12 May 2009 (Appendix </w:t>
      </w:r>
      <w:r w:rsidR="00296BA4">
        <w:t>10</w:t>
      </w:r>
      <w:r w:rsidR="004F3F8F">
        <w:t xml:space="preserve">, page </w:t>
      </w:r>
      <w:r w:rsidR="00F76A57">
        <w:t>3</w:t>
      </w:r>
      <w:r w:rsidR="00296BA4">
        <w:t>7</w:t>
      </w:r>
      <w:r w:rsidR="004F3F8F">
        <w:t>).</w:t>
      </w:r>
    </w:p>
    <w:p w:rsidR="00AC0D22" w:rsidRDefault="00AC0D22" w:rsidP="00AC0D22">
      <w:pPr>
        <w:pStyle w:val="ListParagraph"/>
        <w:ind w:left="284"/>
      </w:pPr>
    </w:p>
    <w:p w:rsidR="00AC0D22" w:rsidRDefault="00AC0D22" w:rsidP="002603DC">
      <w:pPr>
        <w:pStyle w:val="ListParagraph"/>
        <w:numPr>
          <w:ilvl w:val="1"/>
          <w:numId w:val="1"/>
        </w:numPr>
        <w:ind w:left="709" w:hanging="425"/>
      </w:pPr>
      <w:r>
        <w:t xml:space="preserve">The only counter-evidence is Mr </w:t>
      </w:r>
      <w:r w:rsidR="00277584">
        <w:t>Barker</w:t>
      </w:r>
      <w:r>
        <w:t xml:space="preserve">’s assertion in his letter of appeal (Appendix 5, page </w:t>
      </w:r>
      <w:r w:rsidR="00296BA4">
        <w:t>24</w:t>
      </w:r>
      <w:r>
        <w:t xml:space="preserve">) that Mr </w:t>
      </w:r>
      <w:r w:rsidR="005A2224">
        <w:t>Hall</w:t>
      </w:r>
      <w:r>
        <w:t xml:space="preserve"> “continued to live at my property until 22 July”.  The Council considers this statement inherently implausible:  if Mr </w:t>
      </w:r>
      <w:r w:rsidR="00277584">
        <w:t>Barker</w:t>
      </w:r>
      <w:r>
        <w:t xml:space="preserve"> is correct, Mr </w:t>
      </w:r>
      <w:r w:rsidR="005A2224">
        <w:t>Hall</w:t>
      </w:r>
      <w:r>
        <w:t xml:space="preserve"> was still living at 16 </w:t>
      </w:r>
      <w:r w:rsidR="005A2224">
        <w:t>Any</w:t>
      </w:r>
      <w:r>
        <w:t xml:space="preserve"> Street on the date when the DWP informed the Council that he had moved and on the date when the Council made its first overpayment decision.  There would have been no reason for the DWP to issue such a notice if Mr </w:t>
      </w:r>
      <w:r w:rsidR="005A2224">
        <w:t>Hall</w:t>
      </w:r>
      <w:r>
        <w:t xml:space="preserve"> were still living at 16 </w:t>
      </w:r>
      <w:r w:rsidR="005A2224">
        <w:t>Any</w:t>
      </w:r>
      <w:r>
        <w:t xml:space="preserve"> Street.  The Council suggests that Mr </w:t>
      </w:r>
      <w:r w:rsidR="00277584">
        <w:t>Barker</w:t>
      </w:r>
      <w:r>
        <w:t xml:space="preserve"> is offering a date that would absolve him of any liability to refund an overpayment without any evidence to back up his assertion.</w:t>
      </w:r>
    </w:p>
    <w:p w:rsidR="00AC0D22" w:rsidRDefault="00AC0D22" w:rsidP="00AC0D22">
      <w:pPr>
        <w:pStyle w:val="ListParagraph"/>
      </w:pPr>
    </w:p>
    <w:p w:rsidR="001A4B77" w:rsidRDefault="00AC0D22" w:rsidP="002603DC">
      <w:pPr>
        <w:pStyle w:val="ListParagraph"/>
        <w:numPr>
          <w:ilvl w:val="1"/>
          <w:numId w:val="1"/>
        </w:numPr>
        <w:ind w:left="709" w:hanging="425"/>
      </w:pPr>
      <w:r>
        <w:t>The Tr</w:t>
      </w:r>
      <w:r w:rsidR="001A4B77">
        <w:t>ibunal is reminded that the Cou</w:t>
      </w:r>
      <w:r>
        <w:t xml:space="preserve">ncil invited both Mr </w:t>
      </w:r>
      <w:r w:rsidR="00277584">
        <w:t>Barker</w:t>
      </w:r>
      <w:r>
        <w:t xml:space="preserve"> and Mr</w:t>
      </w:r>
      <w:r w:rsidR="001A4B77">
        <w:t> </w:t>
      </w:r>
      <w:r w:rsidR="005A2224">
        <w:t>Hall</w:t>
      </w:r>
      <w:r>
        <w:t xml:space="preserve"> to provide more information and evidence about the circumstances of his move – see the letters sent to both of them on 13 August (Appendices </w:t>
      </w:r>
      <w:r w:rsidR="00296BA4">
        <w:t>8</w:t>
      </w:r>
      <w:r>
        <w:t xml:space="preserve"> and </w:t>
      </w:r>
      <w:r w:rsidR="00296BA4">
        <w:t>9</w:t>
      </w:r>
      <w:r>
        <w:t xml:space="preserve">, pages </w:t>
      </w:r>
      <w:r w:rsidR="00296BA4">
        <w:t>32 to 36</w:t>
      </w:r>
      <w:r>
        <w:t>).  The Council has re</w:t>
      </w:r>
      <w:r w:rsidR="0011089A">
        <w:t>ceived no reply to either of tho</w:t>
      </w:r>
      <w:r>
        <w:t xml:space="preserve">se letters.  In the absence of evidence to the contrary, the Council considers that it is correct to assume that Mr </w:t>
      </w:r>
      <w:r w:rsidR="005A2224">
        <w:t>Hall</w:t>
      </w:r>
      <w:r>
        <w:t xml:space="preserve"> left 16 </w:t>
      </w:r>
      <w:r w:rsidR="005A2224">
        <w:t>Any</w:t>
      </w:r>
      <w:r>
        <w:t xml:space="preserve"> St on or shortly before 12 May 2009;  and in the absence of any evidence to suggest that he could not have arranged his move without unavoidably remaining liable to pay rent to Mr </w:t>
      </w:r>
      <w:r w:rsidR="00277584">
        <w:t>Barker</w:t>
      </w:r>
      <w:r>
        <w:t xml:space="preserve">, the Council submits that it is correct to conclude that Mr </w:t>
      </w:r>
      <w:r w:rsidR="005A2224">
        <w:t>Hall</w:t>
      </w:r>
      <w:r>
        <w:t xml:space="preserve"> does not satisfy the requirements of Re</w:t>
      </w:r>
      <w:r w:rsidR="00296BA4">
        <w:t>gulation 7(6) (Appendix 13</w:t>
      </w:r>
      <w:r>
        <w:t xml:space="preserve">, page </w:t>
      </w:r>
      <w:r w:rsidR="0011089A">
        <w:t>4</w:t>
      </w:r>
      <w:r w:rsidR="00296BA4">
        <w:t>5</w:t>
      </w:r>
      <w:r>
        <w:t>)</w:t>
      </w:r>
      <w:r w:rsidR="001A4B77">
        <w:t xml:space="preserve"> and that his award in respect of 16 </w:t>
      </w:r>
      <w:r w:rsidR="005A2224">
        <w:t>Any</w:t>
      </w:r>
      <w:r w:rsidR="001A4B77">
        <w:t xml:space="preserve"> Street must therefore end from the date when he moved out.</w:t>
      </w:r>
    </w:p>
    <w:p w:rsidR="001A4B77" w:rsidRDefault="001A4B77" w:rsidP="001A4B77">
      <w:pPr>
        <w:pStyle w:val="ListParagraph"/>
      </w:pPr>
    </w:p>
    <w:p w:rsidR="00612C81" w:rsidRDefault="001A4B77" w:rsidP="002603DC">
      <w:pPr>
        <w:pStyle w:val="ListParagraph"/>
        <w:numPr>
          <w:ilvl w:val="1"/>
          <w:numId w:val="1"/>
        </w:numPr>
        <w:ind w:left="709" w:hanging="425"/>
      </w:pPr>
      <w:r>
        <w:t>The Council therefore submits that the amount of the overpayment, as revised on 10 September 2009, is correct on the best available evidence.</w:t>
      </w:r>
    </w:p>
    <w:p w:rsidR="00612C81" w:rsidRDefault="00612C81" w:rsidP="00612C81">
      <w:pPr>
        <w:pStyle w:val="ListParagraph"/>
      </w:pPr>
    </w:p>
    <w:p w:rsidR="001A4B77" w:rsidRPr="001A4B77" w:rsidRDefault="001A4B77" w:rsidP="001A4B77">
      <w:pPr>
        <w:pStyle w:val="ListParagraph"/>
        <w:ind w:left="0"/>
        <w:rPr>
          <w:b/>
        </w:rPr>
      </w:pPr>
      <w:r>
        <w:rPr>
          <w:b/>
        </w:rPr>
        <w:t>Is the overpayment recoverable?</w:t>
      </w:r>
    </w:p>
    <w:p w:rsidR="001A4B77" w:rsidRDefault="001A4B77" w:rsidP="00612C81">
      <w:pPr>
        <w:pStyle w:val="ListParagraph"/>
      </w:pPr>
    </w:p>
    <w:p w:rsidR="00C757F0" w:rsidRDefault="001A4B77" w:rsidP="002603DC">
      <w:pPr>
        <w:pStyle w:val="ListParagraph"/>
        <w:numPr>
          <w:ilvl w:val="1"/>
          <w:numId w:val="1"/>
        </w:numPr>
        <w:ind w:left="709" w:hanging="425"/>
      </w:pPr>
      <w:r>
        <w:t xml:space="preserve">Neither Mr </w:t>
      </w:r>
      <w:r w:rsidR="005A2224">
        <w:t>Hall</w:t>
      </w:r>
      <w:r>
        <w:t xml:space="preserve"> nor Mr </w:t>
      </w:r>
      <w:r w:rsidR="00277584">
        <w:t>Barker</w:t>
      </w:r>
      <w:r>
        <w:t xml:space="preserve"> informed the Council that Mr </w:t>
      </w:r>
      <w:r w:rsidR="005A2224">
        <w:t>Hall</w:t>
      </w:r>
      <w:r>
        <w:t xml:space="preserve"> had moved out – the Council first learned of the move by way of a notice from the DWP is</w:t>
      </w:r>
      <w:r w:rsidR="00296BA4">
        <w:t>sued on 26 June 2009 (Appendix 7</w:t>
      </w:r>
      <w:r>
        <w:t xml:space="preserve">, page </w:t>
      </w:r>
      <w:r w:rsidR="0011089A">
        <w:t>2</w:t>
      </w:r>
      <w:r w:rsidR="00296BA4">
        <w:t>9</w:t>
      </w:r>
      <w:r>
        <w:t xml:space="preserve">).  One further HB payment was made on </w:t>
      </w:r>
      <w:r w:rsidR="00F84F19">
        <w:t>or shortly before 12 July 2009</w:t>
      </w:r>
      <w:r w:rsidR="00C93D8F">
        <w:t>.</w:t>
      </w:r>
      <w:r>
        <w:t xml:space="preserve">  </w:t>
      </w:r>
      <w:r w:rsidR="00C93D8F">
        <w:t>T</w:t>
      </w:r>
      <w:r>
        <w:t>he Council submits that the interval between the receipt of the notice from the DWP and the issuing of that final payment was not long enough to amount to an official error by way of omission; rather, it was within the period that should be seen a</w:t>
      </w:r>
      <w:r w:rsidR="0011089A">
        <w:t>s</w:t>
      </w:r>
      <w:r>
        <w:t xml:space="preserve"> </w:t>
      </w:r>
      <w:r w:rsidR="0011089A">
        <w:t xml:space="preserve">a </w:t>
      </w:r>
      <w:r>
        <w:t>normal, routine and efficient turnaround.  No further payments were issued after that.</w:t>
      </w:r>
    </w:p>
    <w:p w:rsidR="001A4B77" w:rsidRDefault="001A4B77" w:rsidP="001A4B77">
      <w:pPr>
        <w:pStyle w:val="ListParagraph"/>
        <w:ind w:left="284"/>
      </w:pPr>
    </w:p>
    <w:p w:rsidR="001A4B77" w:rsidRDefault="001A4B77" w:rsidP="002603DC">
      <w:pPr>
        <w:pStyle w:val="ListParagraph"/>
        <w:numPr>
          <w:ilvl w:val="1"/>
          <w:numId w:val="1"/>
        </w:numPr>
        <w:ind w:left="709" w:hanging="425"/>
      </w:pPr>
      <w:r>
        <w:t xml:space="preserve">It is true that the Council appears to have taken several weeks to react to the data matching report dated 14 July 2009 – the overpayment was not revised in the light of that report until 10 September.  However, the overpayment of HB had already happened by the time of the data match – any delay in reacting to the data match cannot have caused any overpayment because </w:t>
      </w:r>
      <w:r w:rsidRPr="00C93D8F">
        <w:rPr>
          <w:i/>
        </w:rPr>
        <w:t xml:space="preserve">no payments were issued </w:t>
      </w:r>
      <w:r w:rsidR="00C93D8F">
        <w:t>after that date.</w:t>
      </w:r>
    </w:p>
    <w:p w:rsidR="001A4B77" w:rsidRDefault="001A4B77" w:rsidP="001A4B77">
      <w:pPr>
        <w:pStyle w:val="ListParagraph"/>
      </w:pPr>
    </w:p>
    <w:p w:rsidR="001A4B77" w:rsidRDefault="00C93D8F" w:rsidP="002603DC">
      <w:pPr>
        <w:pStyle w:val="ListParagraph"/>
        <w:numPr>
          <w:ilvl w:val="1"/>
          <w:numId w:val="1"/>
        </w:numPr>
        <w:ind w:left="709" w:hanging="425"/>
      </w:pPr>
      <w:r>
        <w:t>The Council submits that the cause of the overpayment is not official error, which means that it is recoverable.</w:t>
      </w:r>
    </w:p>
    <w:p w:rsidR="001A4B77" w:rsidRDefault="001A4B77" w:rsidP="001A4B77">
      <w:pPr>
        <w:pStyle w:val="ListParagraph"/>
      </w:pPr>
    </w:p>
    <w:p w:rsidR="00C93D8F" w:rsidRPr="00C93D8F" w:rsidRDefault="00C93D8F" w:rsidP="00C93D8F">
      <w:pPr>
        <w:pStyle w:val="ListParagraph"/>
        <w:ind w:left="0"/>
        <w:rPr>
          <w:b/>
        </w:rPr>
      </w:pPr>
      <w:r w:rsidRPr="00C93D8F">
        <w:rPr>
          <w:b/>
        </w:rPr>
        <w:t>From whom is the overpayment recoverable?</w:t>
      </w:r>
    </w:p>
    <w:p w:rsidR="00C93D8F" w:rsidRDefault="00C93D8F" w:rsidP="001A4B77">
      <w:pPr>
        <w:pStyle w:val="ListParagraph"/>
      </w:pPr>
    </w:p>
    <w:p w:rsidR="001A4B77" w:rsidRDefault="00C93D8F" w:rsidP="002603DC">
      <w:pPr>
        <w:pStyle w:val="ListParagraph"/>
        <w:numPr>
          <w:ilvl w:val="1"/>
          <w:numId w:val="1"/>
        </w:numPr>
        <w:ind w:left="709" w:hanging="425"/>
      </w:pPr>
      <w:r>
        <w:t xml:space="preserve">The Council accepts (see paragraphs </w:t>
      </w:r>
      <w:r>
        <w:fldChar w:fldCharType="begin"/>
      </w:r>
      <w:r>
        <w:instrText xml:space="preserve"> REF _Ref245788866 \r \h </w:instrText>
      </w:r>
      <w:r>
        <w:fldChar w:fldCharType="separate"/>
      </w:r>
      <w:r w:rsidR="00C61A68">
        <w:t>6.8</w:t>
      </w:r>
      <w:r>
        <w:fldChar w:fldCharType="end"/>
      </w:r>
      <w:r>
        <w:t xml:space="preserve"> to </w:t>
      </w:r>
      <w:r>
        <w:fldChar w:fldCharType="begin"/>
      </w:r>
      <w:r>
        <w:instrText xml:space="preserve"> REF _Ref245788878 \r \h </w:instrText>
      </w:r>
      <w:r>
        <w:fldChar w:fldCharType="separate"/>
      </w:r>
      <w:r w:rsidR="00C61A68">
        <w:t>6.10</w:t>
      </w:r>
      <w:r>
        <w:fldChar w:fldCharType="end"/>
      </w:r>
      <w:r>
        <w:t xml:space="preserve"> above) that Mr </w:t>
      </w:r>
      <w:r w:rsidR="00277584">
        <w:t>Barker</w:t>
      </w:r>
      <w:r>
        <w:t xml:space="preserve"> does not have to satisfy the stringent requirements of Reg 101(1) in order to escape recovery of the overpayment:  all he needs to do is satisfy the Tribunal that the overpayment should be recoverable from another person instead of him in accordance with Reg 101(2).  In essence, if Mr </w:t>
      </w:r>
      <w:r w:rsidR="00277584">
        <w:t>Barker</w:t>
      </w:r>
      <w:r>
        <w:t xml:space="preserve"> can persuade the Tribunal that the overpayment is mainly Mr </w:t>
      </w:r>
      <w:r w:rsidR="005A2224">
        <w:t>Hall</w:t>
      </w:r>
      <w:r>
        <w:t xml:space="preserve">’s fault, then the overpayment will only be recoverable from Mr </w:t>
      </w:r>
      <w:r w:rsidR="005A2224">
        <w:t>Hall</w:t>
      </w:r>
      <w:r>
        <w:t xml:space="preserve">, instead of Mr </w:t>
      </w:r>
      <w:r w:rsidR="00277584">
        <w:t>Barker</w:t>
      </w:r>
      <w:r>
        <w:t>.</w:t>
      </w:r>
    </w:p>
    <w:p w:rsidR="00C93D8F" w:rsidRDefault="00C93D8F" w:rsidP="00C93D8F">
      <w:pPr>
        <w:pStyle w:val="ListParagraph"/>
        <w:ind w:left="284"/>
      </w:pPr>
    </w:p>
    <w:p w:rsidR="00C93D8F" w:rsidRDefault="00C93D8F" w:rsidP="002603DC">
      <w:pPr>
        <w:pStyle w:val="ListParagraph"/>
        <w:numPr>
          <w:ilvl w:val="1"/>
          <w:numId w:val="1"/>
        </w:numPr>
        <w:ind w:left="709" w:hanging="425"/>
      </w:pPr>
      <w:r>
        <w:t xml:space="preserve">On the evidence available, the Council finds it impossible to say whether Mr </w:t>
      </w:r>
      <w:r w:rsidR="00277584">
        <w:t>Barker</w:t>
      </w:r>
      <w:r>
        <w:t xml:space="preserve"> or Mr </w:t>
      </w:r>
      <w:r w:rsidR="005A2224">
        <w:t>Hall</w:t>
      </w:r>
      <w:r>
        <w:t xml:space="preserve"> is principally to blame for the overpayment.  Both parties have been invited to comment on the circumstances in which Mr </w:t>
      </w:r>
      <w:r w:rsidR="005A2224">
        <w:t>Hall</w:t>
      </w:r>
      <w:r>
        <w:t xml:space="preserve"> left 16 </w:t>
      </w:r>
      <w:r w:rsidR="005A2224">
        <w:t>Any</w:t>
      </w:r>
      <w:r>
        <w:t xml:space="preserve"> Street, but neither party has offered any further comments.  The Council is unable to say whether or when Mr </w:t>
      </w:r>
      <w:r w:rsidR="00277584">
        <w:t>Barker</w:t>
      </w:r>
      <w:r>
        <w:t xml:space="preserve"> knew that his tenant was moving.  In the absence of evidence to fix either party alone with responsibility to repay the money, the Council has concluded that </w:t>
      </w:r>
      <w:r w:rsidRPr="00C93D8F">
        <w:rPr>
          <w:b/>
        </w:rPr>
        <w:t>either</w:t>
      </w:r>
      <w:r>
        <w:t>:</w:t>
      </w:r>
    </w:p>
    <w:p w:rsidR="00C93D8F" w:rsidRDefault="00C93D8F" w:rsidP="00C93D8F">
      <w:pPr>
        <w:pStyle w:val="ListParagraph"/>
      </w:pPr>
    </w:p>
    <w:p w:rsidR="00C93D8F" w:rsidRDefault="00C93D8F" w:rsidP="00C93D8F">
      <w:pPr>
        <w:pStyle w:val="ListParagraph"/>
        <w:numPr>
          <w:ilvl w:val="0"/>
          <w:numId w:val="22"/>
        </w:numPr>
      </w:pPr>
      <w:r>
        <w:t xml:space="preserve">Both parties are equally responsible for causing the overpayment, in which case Reg 101(2)(b) applies to both of them at the same time; </w:t>
      </w:r>
      <w:r w:rsidRPr="00C93D8F">
        <w:rPr>
          <w:b/>
        </w:rPr>
        <w:t>or</w:t>
      </w:r>
    </w:p>
    <w:p w:rsidR="00C93D8F" w:rsidRDefault="00C93D8F" w:rsidP="00C93D8F">
      <w:pPr>
        <w:pStyle w:val="ListParagraph"/>
        <w:numPr>
          <w:ilvl w:val="0"/>
          <w:numId w:val="22"/>
        </w:numPr>
      </w:pPr>
      <w:r>
        <w:t>Reg 101(2)(b) does not apply, therefore Reg 101(2)(a) applies and the overpayment is recoverable from both the claimant and the person who received it</w:t>
      </w:r>
    </w:p>
    <w:p w:rsidR="00C757F0" w:rsidRDefault="00C757F0" w:rsidP="00C757F0">
      <w:pPr>
        <w:pStyle w:val="ListParagraph"/>
      </w:pPr>
    </w:p>
    <w:p w:rsidR="002428B6" w:rsidRPr="002428B6" w:rsidRDefault="00C93D8F" w:rsidP="002428B6">
      <w:pPr>
        <w:pStyle w:val="ListParagraph"/>
        <w:numPr>
          <w:ilvl w:val="1"/>
          <w:numId w:val="1"/>
        </w:numPr>
      </w:pPr>
      <w:r>
        <w:t xml:space="preserve">Either way, the overpayment is recoverable from Mr </w:t>
      </w:r>
      <w:r w:rsidR="00277584">
        <w:t>Barker</w:t>
      </w:r>
      <w:r>
        <w:t xml:space="preserve"> and Mr </w:t>
      </w:r>
      <w:r w:rsidR="005A2224">
        <w:t>Hall</w:t>
      </w:r>
      <w:r>
        <w:t>.</w:t>
      </w:r>
    </w:p>
    <w:p w:rsidR="00A34C88" w:rsidRDefault="00DD7A89" w:rsidP="00C61A68">
      <w:pPr>
        <w:rPr>
          <w:b/>
          <w:sz w:val="36"/>
        </w:rPr>
      </w:pPr>
      <w:r>
        <w:br w:type="page"/>
      </w:r>
    </w:p>
    <w:p w:rsidR="00A34C88" w:rsidRDefault="00A34C88" w:rsidP="00DD7A89">
      <w:pPr>
        <w:jc w:val="center"/>
        <w:rPr>
          <w:b/>
          <w:sz w:val="36"/>
        </w:rPr>
      </w:pPr>
    </w:p>
    <w:p w:rsidR="00A34C88" w:rsidRDefault="00F84F19" w:rsidP="00DD7A89">
      <w:pPr>
        <w:jc w:val="center"/>
        <w:rPr>
          <w:b/>
          <w:sz w:val="36"/>
        </w:rPr>
      </w:pPr>
      <w:r>
        <w:rPr>
          <w:b/>
          <w:sz w:val="36"/>
        </w:rPr>
        <w:t>Appendix 11</w:t>
      </w:r>
    </w:p>
    <w:p w:rsidR="00A34C88" w:rsidRDefault="00A34C88" w:rsidP="00DD7A89">
      <w:pPr>
        <w:jc w:val="center"/>
        <w:rPr>
          <w:b/>
          <w:sz w:val="36"/>
        </w:rPr>
      </w:pPr>
    </w:p>
    <w:p w:rsidR="00A34C88" w:rsidRDefault="00A34C88" w:rsidP="00DD7A89">
      <w:pPr>
        <w:jc w:val="center"/>
        <w:rPr>
          <w:b/>
          <w:sz w:val="36"/>
        </w:rPr>
      </w:pPr>
    </w:p>
    <w:p w:rsidR="00A34C88" w:rsidRDefault="00FF404F" w:rsidP="00DD7A89">
      <w:pPr>
        <w:jc w:val="center"/>
        <w:rPr>
          <w:b/>
          <w:sz w:val="36"/>
        </w:rPr>
      </w:pPr>
      <w:r>
        <w:rPr>
          <w:b/>
          <w:sz w:val="36"/>
        </w:rPr>
        <w:t>Section 130 of the Contributions and Benefits Act</w:t>
      </w:r>
    </w:p>
    <w:p w:rsidR="00A34C88" w:rsidRDefault="00A34C88" w:rsidP="00DD7A89">
      <w:pPr>
        <w:jc w:val="center"/>
        <w:rPr>
          <w:b/>
          <w:sz w:val="36"/>
        </w:rPr>
      </w:pPr>
      <w:r>
        <w:rPr>
          <w:b/>
          <w:sz w:val="36"/>
        </w:rPr>
        <w:br w:type="page"/>
      </w:r>
    </w:p>
    <w:p w:rsidR="00A34C88" w:rsidRDefault="00A34C88" w:rsidP="00DD7A89">
      <w:pPr>
        <w:jc w:val="center"/>
        <w:rPr>
          <w:b/>
          <w:sz w:val="36"/>
        </w:rPr>
      </w:pPr>
    </w:p>
    <w:p w:rsidR="00A34C88" w:rsidRDefault="00A34C88" w:rsidP="00DD7A89">
      <w:pPr>
        <w:jc w:val="center"/>
        <w:rPr>
          <w:b/>
          <w:sz w:val="36"/>
        </w:rPr>
      </w:pPr>
    </w:p>
    <w:p w:rsidR="005B4BC1" w:rsidRPr="005B4BC1" w:rsidRDefault="005B4BC1" w:rsidP="005B4BC1">
      <w:pPr>
        <w:shd w:val="clear" w:color="auto" w:fill="FFFFFF"/>
        <w:rPr>
          <w:b/>
          <w:sz w:val="28"/>
        </w:rPr>
      </w:pPr>
      <w:r w:rsidRPr="005B4BC1">
        <w:rPr>
          <w:b/>
          <w:sz w:val="28"/>
        </w:rPr>
        <w:t>Section 130</w:t>
      </w:r>
    </w:p>
    <w:p w:rsidR="005B4BC1" w:rsidRDefault="005B4BC1" w:rsidP="005B4BC1">
      <w:pPr>
        <w:shd w:val="clear" w:color="auto" w:fill="FFFFFF"/>
        <w:rPr>
          <w:b/>
          <w:sz w:val="36"/>
        </w:rPr>
      </w:pPr>
    </w:p>
    <w:p w:rsidR="005B4BC1" w:rsidRPr="004B7499" w:rsidRDefault="005B4BC1" w:rsidP="005B4BC1">
      <w:pPr>
        <w:shd w:val="clear" w:color="auto" w:fill="FFFFFF"/>
        <w:rPr>
          <w:rFonts w:cs="Arial"/>
          <w:color w:val="000000"/>
        </w:rPr>
      </w:pPr>
      <w:r w:rsidRPr="004B7499">
        <w:rPr>
          <w:rFonts w:cs="Arial"/>
          <w:color w:val="000000"/>
        </w:rPr>
        <w:t>(1) A person is entitled to housing benefit if</w:t>
      </w:r>
    </w:p>
    <w:p w:rsidR="005B4BC1" w:rsidRPr="004B7499" w:rsidRDefault="005B4BC1" w:rsidP="005B4BC1">
      <w:pPr>
        <w:shd w:val="clear" w:color="auto" w:fill="FFFFFF"/>
        <w:ind w:left="720"/>
        <w:rPr>
          <w:rFonts w:cs="Arial"/>
          <w:color w:val="000000"/>
        </w:rPr>
      </w:pPr>
      <w:r w:rsidRPr="004B7499">
        <w:rPr>
          <w:rFonts w:cs="Arial"/>
          <w:color w:val="000000"/>
        </w:rPr>
        <w:t xml:space="preserve">(a) </w:t>
      </w:r>
      <w:proofErr w:type="gramStart"/>
      <w:r w:rsidRPr="004B7499">
        <w:rPr>
          <w:rFonts w:cs="Arial"/>
          <w:color w:val="000000"/>
        </w:rPr>
        <w:t>he</w:t>
      </w:r>
      <w:proofErr w:type="gramEnd"/>
      <w:r w:rsidRPr="004B7499">
        <w:rPr>
          <w:rFonts w:cs="Arial"/>
          <w:color w:val="000000"/>
        </w:rPr>
        <w:t xml:space="preserve"> is liable to make payments in respect of a dwelling in Great Britain which he occupies as his home; </w:t>
      </w:r>
    </w:p>
    <w:p w:rsidR="005B4BC1" w:rsidRPr="004B7499" w:rsidRDefault="005B4BC1" w:rsidP="005B4BC1">
      <w:pPr>
        <w:shd w:val="clear" w:color="auto" w:fill="FFFFFF"/>
        <w:ind w:left="720"/>
        <w:rPr>
          <w:rFonts w:cs="Arial"/>
          <w:color w:val="000000"/>
        </w:rPr>
      </w:pPr>
      <w:r w:rsidRPr="004B7499">
        <w:rPr>
          <w:rFonts w:cs="Arial"/>
          <w:color w:val="000000"/>
        </w:rPr>
        <w:t xml:space="preserve">(b) </w:t>
      </w:r>
      <w:proofErr w:type="gramStart"/>
      <w:r w:rsidRPr="004B7499">
        <w:rPr>
          <w:rFonts w:cs="Arial"/>
          <w:color w:val="000000"/>
        </w:rPr>
        <w:t>there</w:t>
      </w:r>
      <w:proofErr w:type="gramEnd"/>
      <w:r w:rsidRPr="004B7499">
        <w:rPr>
          <w:rFonts w:cs="Arial"/>
          <w:color w:val="000000"/>
        </w:rPr>
        <w:t xml:space="preserve"> is an appropriate maximum housing benefit in his case; and</w:t>
      </w:r>
    </w:p>
    <w:p w:rsidR="005B4BC1" w:rsidRPr="004B7499" w:rsidRDefault="005B4BC1" w:rsidP="005B4BC1">
      <w:pPr>
        <w:shd w:val="clear" w:color="auto" w:fill="FFFFFF"/>
        <w:ind w:left="720"/>
        <w:rPr>
          <w:rFonts w:cs="Arial"/>
          <w:color w:val="000000"/>
        </w:rPr>
      </w:pPr>
      <w:r w:rsidRPr="004B7499">
        <w:rPr>
          <w:rFonts w:cs="Arial"/>
          <w:color w:val="000000"/>
        </w:rPr>
        <w:t xml:space="preserve">(c) </w:t>
      </w:r>
      <w:proofErr w:type="gramStart"/>
      <w:r w:rsidRPr="004B7499">
        <w:rPr>
          <w:rFonts w:cs="Arial"/>
          <w:color w:val="000000"/>
        </w:rPr>
        <w:t>either</w:t>
      </w:r>
      <w:proofErr w:type="gramEnd"/>
    </w:p>
    <w:p w:rsidR="005B4BC1" w:rsidRPr="004B7499" w:rsidRDefault="005B4BC1" w:rsidP="005B4BC1">
      <w:pPr>
        <w:shd w:val="clear" w:color="auto" w:fill="FFFFFF"/>
        <w:ind w:left="1440"/>
        <w:rPr>
          <w:rFonts w:cs="Arial"/>
          <w:color w:val="000000"/>
        </w:rPr>
      </w:pPr>
      <w:r w:rsidRPr="004B7499">
        <w:rPr>
          <w:rFonts w:cs="Arial"/>
          <w:color w:val="000000"/>
        </w:rPr>
        <w:t xml:space="preserve">(i) </w:t>
      </w:r>
      <w:proofErr w:type="gramStart"/>
      <w:r w:rsidRPr="004B7499">
        <w:rPr>
          <w:rFonts w:cs="Arial"/>
          <w:color w:val="000000"/>
        </w:rPr>
        <w:t>he</w:t>
      </w:r>
      <w:proofErr w:type="gramEnd"/>
      <w:r w:rsidRPr="004B7499">
        <w:rPr>
          <w:rFonts w:cs="Arial"/>
          <w:color w:val="000000"/>
        </w:rPr>
        <w:t xml:space="preserve"> has no income or his income does not exceed the applicable amount; or </w:t>
      </w:r>
    </w:p>
    <w:p w:rsidR="005B4BC1" w:rsidRPr="004B7499" w:rsidRDefault="005B4BC1" w:rsidP="005B4BC1">
      <w:pPr>
        <w:shd w:val="clear" w:color="auto" w:fill="FFFFFF"/>
        <w:ind w:left="1440"/>
        <w:rPr>
          <w:rFonts w:cs="Arial"/>
          <w:color w:val="000000"/>
        </w:rPr>
      </w:pPr>
      <w:r w:rsidRPr="004B7499">
        <w:rPr>
          <w:rFonts w:cs="Arial"/>
          <w:color w:val="000000"/>
        </w:rPr>
        <w:t>(ii) his income exceeds that amount, but only by so much that there is an amount remaining if the deduction for which subsection (3)(b) below provides is made.</w:t>
      </w:r>
    </w:p>
    <w:p w:rsidR="005B4BC1" w:rsidRDefault="005B4BC1" w:rsidP="005B4BC1">
      <w:pPr>
        <w:shd w:val="clear" w:color="auto" w:fill="FFFFFF"/>
        <w:rPr>
          <w:rFonts w:cs="Arial"/>
          <w:color w:val="000000"/>
        </w:rPr>
      </w:pPr>
    </w:p>
    <w:p w:rsidR="005B4BC1" w:rsidRPr="004B7499" w:rsidRDefault="005B4BC1" w:rsidP="005B4BC1">
      <w:pPr>
        <w:shd w:val="clear" w:color="auto" w:fill="FFFFFF"/>
        <w:rPr>
          <w:rFonts w:cs="Arial"/>
          <w:color w:val="000000"/>
        </w:rPr>
      </w:pPr>
      <w:r w:rsidRPr="004B7499">
        <w:rPr>
          <w:rFonts w:cs="Arial"/>
          <w:color w:val="000000"/>
        </w:rPr>
        <w:t>(2) In subsection (1) above "payments in respect of a dwelling" means such payments as may be prescribed, but the power to prescribe payments does not include power to prescribe</w:t>
      </w:r>
    </w:p>
    <w:p w:rsidR="005B4BC1" w:rsidRPr="004B7499" w:rsidRDefault="005B4BC1" w:rsidP="005B4BC1">
      <w:pPr>
        <w:shd w:val="clear" w:color="auto" w:fill="FFFFFF"/>
        <w:ind w:left="720"/>
        <w:rPr>
          <w:rFonts w:cs="Arial"/>
          <w:color w:val="000000"/>
        </w:rPr>
      </w:pPr>
      <w:r w:rsidRPr="004B7499">
        <w:rPr>
          <w:rFonts w:cs="Arial"/>
          <w:color w:val="000000"/>
        </w:rPr>
        <w:t xml:space="preserve">(a) </w:t>
      </w:r>
      <w:proofErr w:type="gramStart"/>
      <w:r w:rsidRPr="004B7499">
        <w:rPr>
          <w:rFonts w:cs="Arial"/>
          <w:color w:val="000000"/>
        </w:rPr>
        <w:t>payments</w:t>
      </w:r>
      <w:proofErr w:type="gramEnd"/>
      <w:r w:rsidRPr="004B7499">
        <w:rPr>
          <w:rFonts w:cs="Arial"/>
          <w:color w:val="000000"/>
        </w:rPr>
        <w:t xml:space="preserve"> to a billing or levying authority in respect of council tax; or </w:t>
      </w:r>
    </w:p>
    <w:p w:rsidR="005B4BC1" w:rsidRPr="004B7499" w:rsidRDefault="005B4BC1" w:rsidP="005B4BC1">
      <w:pPr>
        <w:shd w:val="clear" w:color="auto" w:fill="FFFFFF"/>
        <w:ind w:left="720"/>
        <w:rPr>
          <w:rFonts w:cs="Arial"/>
          <w:color w:val="000000"/>
        </w:rPr>
      </w:pPr>
      <w:r w:rsidRPr="004B7499">
        <w:rPr>
          <w:rFonts w:cs="Arial"/>
          <w:color w:val="000000"/>
        </w:rPr>
        <w:t xml:space="preserve">(b) </w:t>
      </w:r>
      <w:proofErr w:type="gramStart"/>
      <w:r w:rsidRPr="004B7499">
        <w:rPr>
          <w:rFonts w:cs="Arial"/>
          <w:color w:val="000000"/>
        </w:rPr>
        <w:t>mortgage</w:t>
      </w:r>
      <w:proofErr w:type="gramEnd"/>
      <w:r w:rsidRPr="004B7499">
        <w:rPr>
          <w:rFonts w:cs="Arial"/>
          <w:color w:val="000000"/>
        </w:rPr>
        <w:t xml:space="preserve"> payments, or, in relation to Scotland, payments under heritable securities.</w:t>
      </w:r>
    </w:p>
    <w:p w:rsidR="005B4BC1" w:rsidRDefault="005B4BC1" w:rsidP="005B4BC1">
      <w:pPr>
        <w:shd w:val="clear" w:color="auto" w:fill="FFFFFF"/>
        <w:rPr>
          <w:rFonts w:cs="Arial"/>
          <w:color w:val="000000"/>
        </w:rPr>
      </w:pPr>
    </w:p>
    <w:p w:rsidR="005B4BC1" w:rsidRPr="004B7499" w:rsidRDefault="005B4BC1" w:rsidP="005B4BC1">
      <w:pPr>
        <w:shd w:val="clear" w:color="auto" w:fill="FFFFFF"/>
        <w:rPr>
          <w:rFonts w:cs="Arial"/>
          <w:color w:val="000000"/>
        </w:rPr>
      </w:pPr>
      <w:r w:rsidRPr="004B7499">
        <w:rPr>
          <w:rFonts w:cs="Arial"/>
          <w:color w:val="000000"/>
        </w:rPr>
        <w:t>(3) Where a person is entitled to housing benefit, then</w:t>
      </w:r>
    </w:p>
    <w:p w:rsidR="005B4BC1" w:rsidRPr="004B7499" w:rsidRDefault="005B4BC1" w:rsidP="005B4BC1">
      <w:pPr>
        <w:shd w:val="clear" w:color="auto" w:fill="FFFFFF"/>
        <w:ind w:left="720"/>
        <w:rPr>
          <w:rFonts w:cs="Arial"/>
          <w:color w:val="000000"/>
        </w:rPr>
      </w:pPr>
      <w:r w:rsidRPr="004B7499">
        <w:rPr>
          <w:rFonts w:cs="Arial"/>
          <w:color w:val="000000"/>
        </w:rPr>
        <w:t xml:space="preserve">(a) </w:t>
      </w:r>
      <w:proofErr w:type="gramStart"/>
      <w:r w:rsidRPr="004B7499">
        <w:rPr>
          <w:rFonts w:cs="Arial"/>
          <w:color w:val="000000"/>
        </w:rPr>
        <w:t>if</w:t>
      </w:r>
      <w:proofErr w:type="gramEnd"/>
      <w:r w:rsidRPr="004B7499">
        <w:rPr>
          <w:rFonts w:cs="Arial"/>
          <w:color w:val="000000"/>
        </w:rPr>
        <w:t xml:space="preserve"> he has no income or his income does not exceed the applicable amount, the amount of the housing benefit shall be the amount which is the appropriate maximum housing benefit in his case; and </w:t>
      </w:r>
    </w:p>
    <w:p w:rsidR="005B4BC1" w:rsidRPr="004B7499" w:rsidRDefault="005B4BC1" w:rsidP="005B4BC1">
      <w:pPr>
        <w:shd w:val="clear" w:color="auto" w:fill="FFFFFF"/>
        <w:ind w:left="720"/>
        <w:rPr>
          <w:rFonts w:cs="Arial"/>
          <w:color w:val="000000"/>
        </w:rPr>
      </w:pPr>
      <w:r w:rsidRPr="004B7499">
        <w:rPr>
          <w:rFonts w:cs="Arial"/>
          <w:color w:val="000000"/>
        </w:rPr>
        <w:t xml:space="preserve">(b) </w:t>
      </w:r>
      <w:proofErr w:type="gramStart"/>
      <w:r w:rsidRPr="004B7499">
        <w:rPr>
          <w:rFonts w:cs="Arial"/>
          <w:color w:val="000000"/>
        </w:rPr>
        <w:t>if</w:t>
      </w:r>
      <w:proofErr w:type="gramEnd"/>
      <w:r w:rsidRPr="004B7499">
        <w:rPr>
          <w:rFonts w:cs="Arial"/>
          <w:color w:val="000000"/>
        </w:rPr>
        <w:t xml:space="preserve"> his income exceeds the applicable amount, the amount of the housing benefit shall be what remains after the deduction from the appropriate maximum housing benefit of prescribed percentages of the excess of his income over the applicable amount.</w:t>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br w:type="page"/>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t>Appendix 1</w:t>
      </w:r>
      <w:r w:rsidR="00F84F19">
        <w:rPr>
          <w:b/>
          <w:sz w:val="36"/>
        </w:rPr>
        <w:t>2</w:t>
      </w:r>
    </w:p>
    <w:p w:rsidR="00A34C88" w:rsidRDefault="00A34C88" w:rsidP="00DD7A89">
      <w:pPr>
        <w:jc w:val="center"/>
        <w:rPr>
          <w:b/>
          <w:sz w:val="36"/>
        </w:rPr>
      </w:pPr>
    </w:p>
    <w:p w:rsidR="00A34C88" w:rsidRDefault="00A34C88" w:rsidP="00DD7A89">
      <w:pPr>
        <w:jc w:val="center"/>
        <w:rPr>
          <w:b/>
          <w:sz w:val="36"/>
        </w:rPr>
      </w:pPr>
    </w:p>
    <w:p w:rsidR="005B4BC1" w:rsidRDefault="005B4BC1" w:rsidP="005B4BC1">
      <w:pPr>
        <w:jc w:val="center"/>
        <w:rPr>
          <w:b/>
          <w:sz w:val="36"/>
        </w:rPr>
      </w:pPr>
      <w:r>
        <w:rPr>
          <w:b/>
          <w:sz w:val="36"/>
        </w:rPr>
        <w:t>Section 137(2) of the</w:t>
      </w:r>
    </w:p>
    <w:p w:rsidR="00A34C88" w:rsidRDefault="005B4BC1" w:rsidP="005B4BC1">
      <w:pPr>
        <w:jc w:val="center"/>
        <w:rPr>
          <w:b/>
          <w:sz w:val="36"/>
        </w:rPr>
      </w:pPr>
      <w:r>
        <w:rPr>
          <w:b/>
          <w:sz w:val="36"/>
        </w:rPr>
        <w:t>Social Security Contributions and Benefits Act 1992</w:t>
      </w:r>
    </w:p>
    <w:p w:rsidR="00A34C88" w:rsidRDefault="00A34C88" w:rsidP="00DD7A89">
      <w:pPr>
        <w:jc w:val="center"/>
        <w:rPr>
          <w:b/>
          <w:sz w:val="36"/>
        </w:rPr>
      </w:pPr>
    </w:p>
    <w:p w:rsidR="00730694" w:rsidRDefault="005B4BC1" w:rsidP="00730694">
      <w:pPr>
        <w:rPr>
          <w:b/>
          <w:sz w:val="36"/>
        </w:rPr>
      </w:pPr>
      <w:r>
        <w:rPr>
          <w:b/>
          <w:sz w:val="36"/>
        </w:rPr>
        <w:br w:type="page"/>
      </w:r>
      <w:r w:rsidR="00730694">
        <w:rPr>
          <w:b/>
          <w:sz w:val="36"/>
        </w:rPr>
        <w:lastRenderedPageBreak/>
        <w:t>Section 137</w:t>
      </w:r>
    </w:p>
    <w:p w:rsidR="00730694" w:rsidRDefault="00730694" w:rsidP="00730694">
      <w:pPr>
        <w:rPr>
          <w:b/>
          <w:sz w:val="36"/>
        </w:rPr>
      </w:pPr>
    </w:p>
    <w:p w:rsidR="005B4BC1" w:rsidRPr="00730694" w:rsidRDefault="005B4BC1" w:rsidP="00730694">
      <w:r w:rsidRPr="00730694">
        <w:t xml:space="preserve">(2) Regulations may make provision for </w:t>
      </w:r>
      <w:r w:rsidR="00730694">
        <w:t>t</w:t>
      </w:r>
      <w:r w:rsidRPr="00730694">
        <w:t>he purposes of this Part of this Act–</w:t>
      </w:r>
    </w:p>
    <w:p w:rsidR="00730694" w:rsidRDefault="00730694" w:rsidP="00730694"/>
    <w:p w:rsidR="005B4BC1" w:rsidRPr="00730694" w:rsidRDefault="005B4BC1" w:rsidP="00730694">
      <w:r w:rsidRPr="00730694">
        <w:t xml:space="preserve">(a) </w:t>
      </w:r>
      <w:proofErr w:type="gramStart"/>
      <w:r w:rsidRPr="00730694">
        <w:t>as</w:t>
      </w:r>
      <w:proofErr w:type="gramEnd"/>
      <w:r w:rsidRPr="00730694">
        <w:t xml:space="preserve"> to circumstances in which a person is to be treated as being or not being in Great Britain;</w:t>
      </w:r>
    </w:p>
    <w:p w:rsidR="00730694" w:rsidRDefault="00730694" w:rsidP="00730694"/>
    <w:p w:rsidR="005B4BC1" w:rsidRPr="00730694" w:rsidRDefault="005B4BC1" w:rsidP="00730694">
      <w:r w:rsidRPr="00730694">
        <w:t xml:space="preserve">(b) </w:t>
      </w:r>
      <w:proofErr w:type="gramStart"/>
      <w:r w:rsidRPr="00730694">
        <w:t>continuing</w:t>
      </w:r>
      <w:proofErr w:type="gramEnd"/>
      <w:r w:rsidRPr="00730694">
        <w:t xml:space="preserve"> a person’s entitlement to benefit during periods of temporary absence from Great Britain;</w:t>
      </w:r>
    </w:p>
    <w:p w:rsidR="00730694" w:rsidRDefault="00730694" w:rsidP="00730694"/>
    <w:p w:rsidR="005B4BC1" w:rsidRPr="00730694" w:rsidRDefault="005B4BC1" w:rsidP="00730694">
      <w:r w:rsidRPr="00730694">
        <w:t xml:space="preserve">(c) </w:t>
      </w:r>
      <w:proofErr w:type="gramStart"/>
      <w:r w:rsidRPr="00730694">
        <w:t>as</w:t>
      </w:r>
      <w:proofErr w:type="gramEnd"/>
      <w:r w:rsidRPr="00730694">
        <w:t xml:space="preserve"> to what is or is not to be treated as remunerative work or as employment;</w:t>
      </w:r>
    </w:p>
    <w:p w:rsidR="00730694" w:rsidRDefault="00730694" w:rsidP="00730694"/>
    <w:p w:rsidR="005B4BC1" w:rsidRPr="00730694" w:rsidRDefault="005B4BC1" w:rsidP="00730694">
      <w:r w:rsidRPr="00730694">
        <w:t xml:space="preserve">(d) </w:t>
      </w:r>
      <w:proofErr w:type="gramStart"/>
      <w:r w:rsidRPr="00730694">
        <w:t>as</w:t>
      </w:r>
      <w:proofErr w:type="gramEnd"/>
      <w:r w:rsidRPr="00730694">
        <w:t xml:space="preserve"> to circumstances in which a person is or is not to be treated as engaged or normally engaged in remunerative work;</w:t>
      </w:r>
    </w:p>
    <w:p w:rsidR="00730694" w:rsidRDefault="00730694" w:rsidP="00730694"/>
    <w:p w:rsidR="005B4BC1" w:rsidRPr="00730694" w:rsidRDefault="005B4BC1" w:rsidP="00730694">
      <w:r w:rsidRPr="00730694">
        <w:t xml:space="preserve">(e) </w:t>
      </w:r>
      <w:proofErr w:type="gramStart"/>
      <w:r w:rsidRPr="00730694">
        <w:t>as</w:t>
      </w:r>
      <w:proofErr w:type="gramEnd"/>
      <w:r w:rsidRPr="00730694">
        <w:t xml:space="preserve"> to what is or is not to be treated as relevant education;</w:t>
      </w:r>
    </w:p>
    <w:p w:rsidR="00730694" w:rsidRDefault="00730694" w:rsidP="00730694"/>
    <w:p w:rsidR="005B4BC1" w:rsidRPr="00730694" w:rsidRDefault="005B4BC1" w:rsidP="00730694">
      <w:r w:rsidRPr="00730694">
        <w:t xml:space="preserve">(f) </w:t>
      </w:r>
      <w:proofErr w:type="gramStart"/>
      <w:r w:rsidRPr="00730694">
        <w:t>as</w:t>
      </w:r>
      <w:proofErr w:type="gramEnd"/>
      <w:r w:rsidRPr="00730694">
        <w:t xml:space="preserve"> to circumstances in which a person is or is not to be treated as receiving relevant education;</w:t>
      </w:r>
    </w:p>
    <w:p w:rsidR="00730694" w:rsidRDefault="00730694" w:rsidP="00730694"/>
    <w:p w:rsidR="005B4BC1" w:rsidRPr="00730694" w:rsidRDefault="005B4BC1" w:rsidP="00730694">
      <w:r w:rsidRPr="00730694">
        <w:t>(g) specifying the descriptions of pension increases under war pension schemes or industrial injuries schemes that are analogous to the benefits mentioned in section 129(2)(b)(i) to (iii) above;</w:t>
      </w:r>
    </w:p>
    <w:p w:rsidR="00730694" w:rsidRDefault="00730694" w:rsidP="00730694"/>
    <w:p w:rsidR="005B4BC1" w:rsidRPr="00FF404F" w:rsidRDefault="005B4BC1" w:rsidP="00730694">
      <w:pPr>
        <w:rPr>
          <w:b/>
        </w:rPr>
      </w:pPr>
      <w:r w:rsidRPr="00FF404F">
        <w:rPr>
          <w:b/>
        </w:rPr>
        <w:t>(</w:t>
      </w:r>
      <w:proofErr w:type="gramStart"/>
      <w:r w:rsidRPr="00FF404F">
        <w:rPr>
          <w:b/>
        </w:rPr>
        <w:t>h</w:t>
      </w:r>
      <w:proofErr w:type="gramEnd"/>
      <w:r w:rsidRPr="00FF404F">
        <w:rPr>
          <w:b/>
        </w:rPr>
        <w:t>) as to circumstances in which a person is or is not to be treated as occupying a dwelling as his home;</w:t>
      </w:r>
    </w:p>
    <w:p w:rsidR="00730694" w:rsidRDefault="00730694" w:rsidP="00730694"/>
    <w:p w:rsidR="005B4BC1" w:rsidRPr="00FF404F" w:rsidRDefault="005B4BC1" w:rsidP="00730694">
      <w:r w:rsidRPr="00FF404F">
        <w:t xml:space="preserve">(i) </w:t>
      </w:r>
      <w:proofErr w:type="gramStart"/>
      <w:r w:rsidRPr="00FF404F">
        <w:t>for</w:t>
      </w:r>
      <w:proofErr w:type="gramEnd"/>
      <w:r w:rsidRPr="00FF404F">
        <w:t xml:space="preserve"> treating any person who is liable to make payments in respect of a dwelling as if he were not so liable;</w:t>
      </w:r>
    </w:p>
    <w:p w:rsidR="00730694" w:rsidRDefault="00730694" w:rsidP="00730694"/>
    <w:p w:rsidR="005B4BC1" w:rsidRPr="00730694" w:rsidRDefault="005B4BC1" w:rsidP="00730694">
      <w:r w:rsidRPr="00730694">
        <w:t xml:space="preserve">(j) </w:t>
      </w:r>
      <w:proofErr w:type="gramStart"/>
      <w:r w:rsidRPr="00730694">
        <w:t>for</w:t>
      </w:r>
      <w:proofErr w:type="gramEnd"/>
      <w:r w:rsidRPr="00730694">
        <w:t xml:space="preserve"> treating any person who is not liable to make payments in respect of a dwelling as if he were so liable;</w:t>
      </w:r>
    </w:p>
    <w:p w:rsidR="00730694" w:rsidRDefault="00730694" w:rsidP="00730694"/>
    <w:p w:rsidR="005B4BC1" w:rsidRPr="00730694" w:rsidRDefault="005B4BC1" w:rsidP="00730694">
      <w:r w:rsidRPr="00730694">
        <w:t xml:space="preserve">(k) </w:t>
      </w:r>
      <w:proofErr w:type="gramStart"/>
      <w:r w:rsidRPr="00730694">
        <w:t>for</w:t>
      </w:r>
      <w:proofErr w:type="gramEnd"/>
      <w:r w:rsidRPr="00730694">
        <w:t xml:space="preserve"> treating as included in a dwelling any land used for the purposes of the dwelling;</w:t>
      </w:r>
    </w:p>
    <w:p w:rsidR="00730694" w:rsidRDefault="00730694" w:rsidP="00730694"/>
    <w:p w:rsidR="005B4BC1" w:rsidRPr="00730694" w:rsidRDefault="005B4BC1" w:rsidP="00730694">
      <w:r w:rsidRPr="00730694">
        <w:t xml:space="preserve">(l) </w:t>
      </w:r>
      <w:proofErr w:type="gramStart"/>
      <w:r w:rsidRPr="00730694">
        <w:t>as</w:t>
      </w:r>
      <w:proofErr w:type="gramEnd"/>
      <w:r w:rsidRPr="00730694">
        <w:t xml:space="preserve"> to circumstances in which persons are to be treated as being or not being members of the same household;</w:t>
      </w:r>
    </w:p>
    <w:p w:rsidR="00730694" w:rsidRDefault="00730694" w:rsidP="00730694"/>
    <w:p w:rsidR="005B4BC1" w:rsidRPr="00730694" w:rsidRDefault="005B4BC1" w:rsidP="00730694">
      <w:r w:rsidRPr="00730694">
        <w:t xml:space="preserve">(m) </w:t>
      </w:r>
      <w:proofErr w:type="gramStart"/>
      <w:r w:rsidRPr="00730694">
        <w:t>as</w:t>
      </w:r>
      <w:proofErr w:type="gramEnd"/>
      <w:r w:rsidRPr="00730694">
        <w:t xml:space="preserve"> to circumstances in which one person is to be treated as responsible or not responsible for another.</w:t>
      </w:r>
    </w:p>
    <w:p w:rsidR="00A34C88" w:rsidRDefault="00A34C88" w:rsidP="00730694">
      <w:pPr>
        <w:rPr>
          <w:b/>
          <w:sz w:val="36"/>
        </w:rPr>
      </w:pPr>
      <w:r w:rsidRPr="00730694">
        <w:br w:type="page"/>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t>Appendix 1</w:t>
      </w:r>
      <w:r w:rsidR="00F84F19">
        <w:rPr>
          <w:b/>
          <w:sz w:val="36"/>
        </w:rPr>
        <w:t>3</w:t>
      </w:r>
    </w:p>
    <w:p w:rsidR="00A34C88" w:rsidRDefault="00A34C88" w:rsidP="00DD7A89">
      <w:pPr>
        <w:jc w:val="center"/>
        <w:rPr>
          <w:b/>
          <w:sz w:val="36"/>
        </w:rPr>
      </w:pPr>
    </w:p>
    <w:p w:rsidR="00A34C88" w:rsidRDefault="00A34C88" w:rsidP="00DD7A89">
      <w:pPr>
        <w:jc w:val="center"/>
        <w:rPr>
          <w:b/>
          <w:sz w:val="36"/>
        </w:rPr>
      </w:pPr>
    </w:p>
    <w:p w:rsidR="00730694" w:rsidRDefault="00FF404F" w:rsidP="00DD7A89">
      <w:pPr>
        <w:jc w:val="center"/>
        <w:rPr>
          <w:b/>
          <w:sz w:val="36"/>
        </w:rPr>
      </w:pPr>
      <w:r>
        <w:rPr>
          <w:b/>
          <w:sz w:val="36"/>
        </w:rPr>
        <w:t xml:space="preserve">Extract from </w:t>
      </w:r>
      <w:r w:rsidR="00730694">
        <w:rPr>
          <w:b/>
          <w:sz w:val="36"/>
        </w:rPr>
        <w:t xml:space="preserve">Regulation </w:t>
      </w:r>
      <w:r>
        <w:rPr>
          <w:b/>
          <w:sz w:val="36"/>
        </w:rPr>
        <w:t>7</w:t>
      </w:r>
      <w:r w:rsidR="00730694">
        <w:rPr>
          <w:b/>
          <w:sz w:val="36"/>
        </w:rPr>
        <w:t xml:space="preserve"> of the Housing Benefit</w:t>
      </w:r>
    </w:p>
    <w:p w:rsidR="00A34C88" w:rsidRDefault="00730694" w:rsidP="00DD7A89">
      <w:pPr>
        <w:jc w:val="center"/>
        <w:rPr>
          <w:b/>
          <w:sz w:val="36"/>
        </w:rPr>
      </w:pPr>
      <w:r>
        <w:rPr>
          <w:b/>
          <w:sz w:val="36"/>
        </w:rPr>
        <w:t>Regulations 2006</w:t>
      </w:r>
    </w:p>
    <w:p w:rsidR="004C6276" w:rsidRPr="00E272D1" w:rsidRDefault="00730694" w:rsidP="004C6276">
      <w:pPr>
        <w:jc w:val="both"/>
        <w:rPr>
          <w:rFonts w:eastAsia="Times New Roman" w:cs="Arial"/>
          <w:szCs w:val="24"/>
          <w:lang w:eastAsia="en-GB"/>
        </w:rPr>
      </w:pPr>
      <w:r>
        <w:rPr>
          <w:b/>
          <w:sz w:val="36"/>
        </w:rPr>
        <w:br w:type="page"/>
      </w:r>
      <w:r w:rsidR="004C6276" w:rsidRPr="00E272D1">
        <w:rPr>
          <w:rFonts w:eastAsia="Times New Roman" w:cs="Arial"/>
          <w:b/>
          <w:bCs/>
          <w:szCs w:val="24"/>
          <w:lang w:eastAsia="en-GB"/>
        </w:rPr>
        <w:lastRenderedPageBreak/>
        <w:t>7. Circumstances in which a person is or is not to be treated as occupying a dwelling as his home</w:t>
      </w:r>
    </w:p>
    <w:p w:rsidR="004C6276" w:rsidRPr="00E272D1" w:rsidRDefault="004C6276" w:rsidP="004C6276">
      <w:pPr>
        <w:jc w:val="both"/>
        <w:rPr>
          <w:rFonts w:eastAsia="Times New Roman" w:cs="Arial"/>
          <w:szCs w:val="24"/>
          <w:lang w:eastAsia="en-GB"/>
        </w:rPr>
      </w:pPr>
    </w:p>
    <w:p w:rsidR="004C6276" w:rsidRPr="00E272D1" w:rsidRDefault="004C6276" w:rsidP="004C6276">
      <w:pPr>
        <w:jc w:val="both"/>
        <w:rPr>
          <w:rFonts w:eastAsia="Times New Roman" w:cs="Arial"/>
          <w:szCs w:val="24"/>
          <w:lang w:eastAsia="en-GB"/>
        </w:rPr>
      </w:pPr>
      <w:r w:rsidRPr="00E272D1">
        <w:rPr>
          <w:rFonts w:eastAsia="Times New Roman" w:cs="Arial"/>
          <w:szCs w:val="24"/>
          <w:lang w:eastAsia="en-GB"/>
        </w:rPr>
        <w:t>(1)</w:t>
      </w:r>
      <w:r>
        <w:rPr>
          <w:rFonts w:eastAsia="Times New Roman" w:cs="Arial"/>
          <w:szCs w:val="24"/>
          <w:lang w:eastAsia="en-GB"/>
        </w:rPr>
        <w:t xml:space="preserve"> </w:t>
      </w:r>
      <w:r w:rsidRPr="00E272D1">
        <w:rPr>
          <w:rFonts w:eastAsia="Times New Roman" w:cs="Arial"/>
          <w:szCs w:val="24"/>
          <w:lang w:eastAsia="en-GB"/>
        </w:rPr>
        <w:t>Subject to the following provisions of this regulation, a person shall be treated as occupying as his home the dwelling normally occupied as his home—</w:t>
      </w:r>
    </w:p>
    <w:p w:rsidR="004C6276" w:rsidRPr="00E272D1" w:rsidRDefault="004C6276" w:rsidP="004C6276">
      <w:pPr>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sidRPr="00E272D1">
        <w:rPr>
          <w:rFonts w:eastAsia="Times New Roman" w:cs="Arial"/>
          <w:szCs w:val="24"/>
          <w:lang w:eastAsia="en-GB"/>
        </w:rPr>
        <w:t>(a)</w:t>
      </w:r>
      <w:r>
        <w:rPr>
          <w:rFonts w:eastAsia="Times New Roman" w:cs="Arial"/>
          <w:szCs w:val="24"/>
          <w:lang w:eastAsia="en-GB"/>
        </w:rPr>
        <w:t xml:space="preserve"> </w:t>
      </w:r>
      <w:proofErr w:type="gramStart"/>
      <w:r w:rsidRPr="00E272D1">
        <w:rPr>
          <w:rFonts w:eastAsia="Times New Roman" w:cs="Arial"/>
          <w:szCs w:val="24"/>
          <w:lang w:eastAsia="en-GB"/>
        </w:rPr>
        <w:t>by</w:t>
      </w:r>
      <w:proofErr w:type="gramEnd"/>
      <w:r w:rsidRPr="00E272D1">
        <w:rPr>
          <w:rFonts w:eastAsia="Times New Roman" w:cs="Arial"/>
          <w:szCs w:val="24"/>
          <w:lang w:eastAsia="en-GB"/>
        </w:rPr>
        <w:t xml:space="preserve"> himself or, if he is a member of a family, by himself and his family; or</w:t>
      </w:r>
    </w:p>
    <w:p w:rsidR="004C6276" w:rsidRDefault="004C6276" w:rsidP="004C6276">
      <w:pPr>
        <w:ind w:left="426"/>
        <w:jc w:val="both"/>
        <w:rPr>
          <w:rFonts w:eastAsia="Times New Roman" w:cs="Arial"/>
          <w:szCs w:val="24"/>
          <w:lang w:eastAsia="en-GB"/>
        </w:rPr>
      </w:pPr>
    </w:p>
    <w:p w:rsidR="004C6276" w:rsidRDefault="004C6276" w:rsidP="004C6276">
      <w:pPr>
        <w:ind w:left="426"/>
        <w:jc w:val="both"/>
        <w:rPr>
          <w:rFonts w:eastAsia="Times New Roman" w:cs="Arial"/>
          <w:szCs w:val="24"/>
          <w:lang w:eastAsia="en-GB"/>
        </w:rPr>
      </w:pPr>
      <w:r w:rsidRPr="00E272D1">
        <w:rPr>
          <w:rFonts w:eastAsia="Times New Roman" w:cs="Arial"/>
          <w:szCs w:val="24"/>
          <w:lang w:eastAsia="en-GB"/>
        </w:rPr>
        <w:t>(b)</w:t>
      </w:r>
      <w:r>
        <w:rPr>
          <w:rFonts w:eastAsia="Times New Roman" w:cs="Arial"/>
          <w:szCs w:val="24"/>
          <w:lang w:eastAsia="en-GB"/>
        </w:rPr>
        <w:t xml:space="preserve"> </w:t>
      </w:r>
      <w:proofErr w:type="gramStart"/>
      <w:r w:rsidRPr="00E272D1">
        <w:rPr>
          <w:rFonts w:eastAsia="Times New Roman" w:cs="Arial"/>
          <w:szCs w:val="24"/>
          <w:lang w:eastAsia="en-GB"/>
        </w:rPr>
        <w:t>if</w:t>
      </w:r>
      <w:proofErr w:type="gramEnd"/>
      <w:r w:rsidRPr="00E272D1">
        <w:rPr>
          <w:rFonts w:eastAsia="Times New Roman" w:cs="Arial"/>
          <w:szCs w:val="24"/>
          <w:lang w:eastAsia="en-GB"/>
        </w:rPr>
        <w:t xml:space="preserve"> he is </w:t>
      </w:r>
      <w:proofErr w:type="spellStart"/>
      <w:r w:rsidRPr="00E272D1">
        <w:rPr>
          <w:rFonts w:eastAsia="Times New Roman" w:cs="Arial"/>
          <w:szCs w:val="24"/>
          <w:lang w:eastAsia="en-GB"/>
        </w:rPr>
        <w:t>polygamously</w:t>
      </w:r>
      <w:proofErr w:type="spellEnd"/>
      <w:r w:rsidRPr="00E272D1">
        <w:rPr>
          <w:rFonts w:eastAsia="Times New Roman" w:cs="Arial"/>
          <w:szCs w:val="24"/>
          <w:lang w:eastAsia="en-GB"/>
        </w:rPr>
        <w:t xml:space="preserve"> married, by himself, his partners and any child or young person for whom he or any partner of his is responsible and who is a member of that same household</w:t>
      </w:r>
    </w:p>
    <w:p w:rsidR="004C6276" w:rsidRDefault="004C6276" w:rsidP="004C6276">
      <w:pPr>
        <w:jc w:val="both"/>
        <w:rPr>
          <w:rFonts w:eastAsia="Times New Roman" w:cs="Arial"/>
          <w:szCs w:val="24"/>
          <w:lang w:eastAsia="en-GB"/>
        </w:rPr>
      </w:pPr>
    </w:p>
    <w:p w:rsidR="004C6276" w:rsidRPr="00E272D1" w:rsidRDefault="004C6276" w:rsidP="004C6276">
      <w:pPr>
        <w:jc w:val="both"/>
        <w:rPr>
          <w:rFonts w:eastAsia="Times New Roman" w:cs="Arial"/>
          <w:szCs w:val="24"/>
          <w:lang w:eastAsia="en-GB"/>
        </w:rPr>
      </w:pPr>
      <w:proofErr w:type="gramStart"/>
      <w:r w:rsidRPr="00E272D1">
        <w:rPr>
          <w:rFonts w:eastAsia="Times New Roman" w:cs="Arial"/>
          <w:szCs w:val="24"/>
          <w:lang w:eastAsia="en-GB"/>
        </w:rPr>
        <w:t>and</w:t>
      </w:r>
      <w:proofErr w:type="gramEnd"/>
      <w:r w:rsidRPr="00E272D1">
        <w:rPr>
          <w:rFonts w:eastAsia="Times New Roman" w:cs="Arial"/>
          <w:szCs w:val="24"/>
          <w:lang w:eastAsia="en-GB"/>
        </w:rPr>
        <w:t xml:space="preserve"> shall not be treated as occupying any other dwelling as his home.</w:t>
      </w:r>
    </w:p>
    <w:p w:rsidR="004C6276" w:rsidRPr="00E272D1" w:rsidRDefault="004C6276" w:rsidP="004C6276">
      <w:pPr>
        <w:jc w:val="both"/>
        <w:rPr>
          <w:rFonts w:eastAsia="Times New Roman" w:cs="Arial"/>
          <w:szCs w:val="24"/>
          <w:lang w:eastAsia="en-GB"/>
        </w:rPr>
      </w:pPr>
    </w:p>
    <w:p w:rsidR="004C6276" w:rsidRPr="00E272D1" w:rsidRDefault="004C6276" w:rsidP="004C6276">
      <w:pPr>
        <w:jc w:val="both"/>
        <w:rPr>
          <w:rFonts w:eastAsia="Times New Roman" w:cs="Arial"/>
          <w:szCs w:val="24"/>
          <w:lang w:eastAsia="en-GB"/>
        </w:rPr>
      </w:pPr>
      <w:r w:rsidRPr="00E272D1">
        <w:rPr>
          <w:rFonts w:eastAsia="Times New Roman" w:cs="Arial"/>
          <w:szCs w:val="24"/>
          <w:lang w:eastAsia="en-GB"/>
        </w:rPr>
        <w:t>(2)</w:t>
      </w:r>
      <w:r>
        <w:rPr>
          <w:rFonts w:eastAsia="Times New Roman" w:cs="Arial"/>
          <w:szCs w:val="24"/>
          <w:lang w:eastAsia="en-GB"/>
        </w:rPr>
        <w:t xml:space="preserve"> </w:t>
      </w:r>
      <w:r w:rsidRPr="00E272D1">
        <w:rPr>
          <w:rFonts w:eastAsia="Times New Roman" w:cs="Arial"/>
          <w:szCs w:val="24"/>
          <w:lang w:eastAsia="en-GB"/>
        </w:rPr>
        <w:t>In determining whether a dwelling is the dwelling normally occupied as a person´s home for the purpose of paragraph (1) regard shall be had to any other dwelling occupied by that person or any other person referred to in paragraph (1) whether or not that dwelling is in Great Britain.</w:t>
      </w:r>
    </w:p>
    <w:p w:rsidR="004C6276" w:rsidRPr="00E272D1" w:rsidRDefault="004C6276" w:rsidP="004C6276">
      <w:pPr>
        <w:jc w:val="both"/>
        <w:rPr>
          <w:rFonts w:eastAsia="Times New Roman" w:cs="Arial"/>
          <w:szCs w:val="24"/>
          <w:lang w:eastAsia="en-GB"/>
        </w:rPr>
      </w:pPr>
    </w:p>
    <w:p w:rsidR="004C6276" w:rsidRDefault="004C6276" w:rsidP="004C6276">
      <w:pPr>
        <w:jc w:val="both"/>
        <w:rPr>
          <w:rFonts w:eastAsia="Times New Roman" w:cs="Arial"/>
          <w:szCs w:val="24"/>
          <w:lang w:eastAsia="en-GB"/>
        </w:rPr>
      </w:pPr>
      <w:r>
        <w:rPr>
          <w:rFonts w:eastAsia="Times New Roman" w:cs="Arial"/>
          <w:szCs w:val="24"/>
          <w:lang w:eastAsia="en-GB"/>
        </w:rPr>
        <w:t>...</w:t>
      </w:r>
    </w:p>
    <w:p w:rsidR="004C6276" w:rsidRDefault="004C6276" w:rsidP="004C6276">
      <w:pPr>
        <w:jc w:val="both"/>
        <w:rPr>
          <w:rFonts w:eastAsia="Times New Roman" w:cs="Arial"/>
          <w:szCs w:val="24"/>
          <w:lang w:eastAsia="en-GB"/>
        </w:rPr>
      </w:pPr>
    </w:p>
    <w:p w:rsidR="004C6276" w:rsidRPr="00E272D1" w:rsidRDefault="004C6276" w:rsidP="004C6276">
      <w:pPr>
        <w:jc w:val="both"/>
        <w:rPr>
          <w:rFonts w:eastAsia="Times New Roman" w:cs="Arial"/>
          <w:szCs w:val="24"/>
          <w:lang w:eastAsia="en-GB"/>
        </w:rPr>
      </w:pPr>
      <w:r w:rsidRPr="00E272D1">
        <w:rPr>
          <w:rFonts w:eastAsia="Times New Roman" w:cs="Arial"/>
          <w:szCs w:val="24"/>
          <w:lang w:eastAsia="en-GB"/>
        </w:rPr>
        <w:t>(6)</w:t>
      </w:r>
      <w:r>
        <w:rPr>
          <w:rFonts w:eastAsia="Times New Roman" w:cs="Arial"/>
          <w:szCs w:val="24"/>
          <w:lang w:eastAsia="en-GB"/>
        </w:rPr>
        <w:t xml:space="preserve"> </w:t>
      </w:r>
      <w:r w:rsidRPr="00E272D1">
        <w:rPr>
          <w:rFonts w:eastAsia="Times New Roman" w:cs="Arial"/>
          <w:szCs w:val="24"/>
          <w:lang w:eastAsia="en-GB"/>
        </w:rPr>
        <w:t>Where a person is liable to make payments in respect of two (but not more than two) dwellings, he shall be treated as occupying both dwellings as his home only—</w:t>
      </w:r>
    </w:p>
    <w:p w:rsidR="004C6276" w:rsidRPr="00E272D1" w:rsidRDefault="004C6276" w:rsidP="004C6276">
      <w:pPr>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sidRPr="00E272D1">
        <w:rPr>
          <w:rFonts w:eastAsia="Times New Roman" w:cs="Arial"/>
          <w:szCs w:val="24"/>
          <w:lang w:eastAsia="en-GB"/>
        </w:rPr>
        <w:t>(a)</w:t>
      </w:r>
      <w:r>
        <w:rPr>
          <w:rFonts w:eastAsia="Times New Roman" w:cs="Arial"/>
          <w:szCs w:val="24"/>
          <w:lang w:eastAsia="en-GB"/>
        </w:rPr>
        <w:t xml:space="preserve"> </w:t>
      </w:r>
      <w:r w:rsidRPr="00E272D1">
        <w:rPr>
          <w:rFonts w:eastAsia="Times New Roman" w:cs="Arial"/>
          <w:szCs w:val="24"/>
          <w:lang w:eastAsia="en-GB"/>
        </w:rPr>
        <w:t>for a period not exceeding 52 weeks in the case where he has left and remains absent from the former dwelling occupied as his home through fear of violence in that dwelling or by a former member of his family and—</w:t>
      </w:r>
    </w:p>
    <w:p w:rsidR="004C6276" w:rsidRPr="00E272D1" w:rsidRDefault="004C6276" w:rsidP="004C6276">
      <w:pPr>
        <w:ind w:left="851"/>
        <w:jc w:val="both"/>
        <w:rPr>
          <w:rFonts w:eastAsia="Times New Roman" w:cs="Arial"/>
          <w:szCs w:val="24"/>
          <w:lang w:eastAsia="en-GB"/>
        </w:rPr>
      </w:pPr>
      <w:r w:rsidRPr="00E272D1">
        <w:rPr>
          <w:rFonts w:eastAsia="Times New Roman" w:cs="Arial"/>
          <w:szCs w:val="24"/>
          <w:lang w:eastAsia="en-GB"/>
        </w:rPr>
        <w:t>(</w:t>
      </w:r>
      <w:proofErr w:type="spellStart"/>
      <w:r w:rsidRPr="00E272D1">
        <w:rPr>
          <w:rFonts w:eastAsia="Times New Roman" w:cs="Arial"/>
          <w:szCs w:val="24"/>
          <w:lang w:eastAsia="en-GB"/>
        </w:rPr>
        <w:t>i</w:t>
      </w:r>
      <w:proofErr w:type="spellEnd"/>
      <w:r w:rsidRPr="00E272D1">
        <w:rPr>
          <w:rFonts w:eastAsia="Times New Roman" w:cs="Arial"/>
          <w:szCs w:val="24"/>
          <w:lang w:eastAsia="en-GB"/>
        </w:rPr>
        <w:t>)</w:t>
      </w:r>
      <w:r>
        <w:rPr>
          <w:rFonts w:eastAsia="Times New Roman" w:cs="Arial"/>
          <w:szCs w:val="24"/>
          <w:lang w:eastAsia="en-GB"/>
        </w:rPr>
        <w:t xml:space="preserve"> </w:t>
      </w:r>
      <w:proofErr w:type="gramStart"/>
      <w:r w:rsidRPr="00E272D1">
        <w:rPr>
          <w:rFonts w:eastAsia="Times New Roman" w:cs="Arial"/>
          <w:szCs w:val="24"/>
          <w:lang w:eastAsia="en-GB"/>
        </w:rPr>
        <w:t>it</w:t>
      </w:r>
      <w:proofErr w:type="gramEnd"/>
      <w:r w:rsidRPr="00E272D1">
        <w:rPr>
          <w:rFonts w:eastAsia="Times New Roman" w:cs="Arial"/>
          <w:szCs w:val="24"/>
          <w:lang w:eastAsia="en-GB"/>
        </w:rPr>
        <w:t xml:space="preserve"> is reasonable that housing benefit should be paid in respect of both his former dwelling and his present dwelling occupied as the home; and</w:t>
      </w:r>
    </w:p>
    <w:p w:rsidR="004C6276" w:rsidRPr="00E272D1" w:rsidRDefault="004C6276" w:rsidP="004C6276">
      <w:pPr>
        <w:ind w:left="851"/>
        <w:jc w:val="both"/>
        <w:rPr>
          <w:rFonts w:eastAsia="Times New Roman" w:cs="Arial"/>
          <w:szCs w:val="24"/>
          <w:lang w:eastAsia="en-GB"/>
        </w:rPr>
      </w:pPr>
      <w:r w:rsidRPr="00E272D1">
        <w:rPr>
          <w:rFonts w:eastAsia="Times New Roman" w:cs="Arial"/>
          <w:szCs w:val="24"/>
          <w:lang w:eastAsia="en-GB"/>
        </w:rPr>
        <w:t>(ii)</w:t>
      </w:r>
      <w:r>
        <w:rPr>
          <w:rFonts w:eastAsia="Times New Roman" w:cs="Arial"/>
          <w:szCs w:val="24"/>
          <w:lang w:eastAsia="en-GB"/>
        </w:rPr>
        <w:t xml:space="preserve"> </w:t>
      </w:r>
      <w:proofErr w:type="gramStart"/>
      <w:r w:rsidRPr="00E272D1">
        <w:rPr>
          <w:rFonts w:eastAsia="Times New Roman" w:cs="Arial"/>
          <w:szCs w:val="24"/>
          <w:lang w:eastAsia="en-GB"/>
        </w:rPr>
        <w:t>he</w:t>
      </w:r>
      <w:proofErr w:type="gramEnd"/>
      <w:r w:rsidRPr="00E272D1">
        <w:rPr>
          <w:rFonts w:eastAsia="Times New Roman" w:cs="Arial"/>
          <w:szCs w:val="24"/>
          <w:lang w:eastAsia="en-GB"/>
        </w:rPr>
        <w:t xml:space="preserve"> intends to return to occupy the former dwelling as his home; or</w:t>
      </w:r>
    </w:p>
    <w:p w:rsidR="004C6276" w:rsidRDefault="004C6276" w:rsidP="004C6276">
      <w:pPr>
        <w:ind w:left="426"/>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sidRPr="00E272D1">
        <w:rPr>
          <w:rFonts w:eastAsia="Times New Roman" w:cs="Arial"/>
          <w:szCs w:val="24"/>
          <w:lang w:eastAsia="en-GB"/>
        </w:rPr>
        <w:t>(b)</w:t>
      </w:r>
      <w:r>
        <w:rPr>
          <w:rFonts w:eastAsia="Times New Roman" w:cs="Arial"/>
          <w:szCs w:val="24"/>
          <w:lang w:eastAsia="en-GB"/>
        </w:rPr>
        <w:t xml:space="preserve"> </w:t>
      </w:r>
      <w:r w:rsidRPr="00E272D1">
        <w:rPr>
          <w:rFonts w:eastAsia="Times New Roman" w:cs="Arial"/>
          <w:szCs w:val="24"/>
          <w:lang w:eastAsia="en-GB"/>
        </w:rPr>
        <w:t>in the case of a couple or a member of a polygamous marriage, where he or one partner is a student, other than one to whom regulation 56(1) applies (circumstances in which certain students are treated as not liable to make payments in respect of a dwelling), or is on a training course and it is unavoidable that the partners should occupy two separate dwellings and reasonable that housing benefit should be paid in respect of both dwellings; or</w:t>
      </w:r>
    </w:p>
    <w:p w:rsidR="004C6276" w:rsidRDefault="004C6276" w:rsidP="004C6276">
      <w:pPr>
        <w:ind w:left="426"/>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sidRPr="00E272D1">
        <w:rPr>
          <w:rFonts w:eastAsia="Times New Roman" w:cs="Arial"/>
          <w:szCs w:val="24"/>
          <w:lang w:eastAsia="en-GB"/>
        </w:rPr>
        <w:t>(c)</w:t>
      </w:r>
      <w:r>
        <w:rPr>
          <w:rFonts w:eastAsia="Times New Roman" w:cs="Arial"/>
          <w:szCs w:val="24"/>
          <w:lang w:eastAsia="en-GB"/>
        </w:rPr>
        <w:t xml:space="preserve"> </w:t>
      </w:r>
      <w:proofErr w:type="gramStart"/>
      <w:r w:rsidRPr="00E272D1">
        <w:rPr>
          <w:rFonts w:eastAsia="Times New Roman" w:cs="Arial"/>
          <w:szCs w:val="24"/>
          <w:lang w:eastAsia="en-GB"/>
        </w:rPr>
        <w:t>in</w:t>
      </w:r>
      <w:proofErr w:type="gramEnd"/>
      <w:r w:rsidRPr="00E272D1">
        <w:rPr>
          <w:rFonts w:eastAsia="Times New Roman" w:cs="Arial"/>
          <w:szCs w:val="24"/>
          <w:lang w:eastAsia="en-GB"/>
        </w:rPr>
        <w:t xml:space="preserve"> the case where, because of the number of persons referred to in paragraph (1), they have been housed by a housing authority in two separate dwellings; or</w:t>
      </w:r>
    </w:p>
    <w:p w:rsidR="004C6276" w:rsidRDefault="004C6276" w:rsidP="004C6276">
      <w:pPr>
        <w:ind w:left="426"/>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Pr>
          <w:rFonts w:eastAsia="Times New Roman" w:cs="Arial"/>
          <w:szCs w:val="24"/>
          <w:lang w:eastAsia="en-GB"/>
        </w:rPr>
        <w:t>(</w:t>
      </w:r>
      <w:r w:rsidRPr="00E272D1">
        <w:rPr>
          <w:rFonts w:eastAsia="Times New Roman" w:cs="Arial"/>
          <w:szCs w:val="24"/>
          <w:lang w:eastAsia="en-GB"/>
        </w:rPr>
        <w:t>d)</w:t>
      </w:r>
      <w:r>
        <w:rPr>
          <w:rFonts w:eastAsia="Times New Roman" w:cs="Arial"/>
          <w:szCs w:val="24"/>
          <w:lang w:eastAsia="en-GB"/>
        </w:rPr>
        <w:t xml:space="preserve"> </w:t>
      </w:r>
      <w:r w:rsidRPr="00E272D1">
        <w:rPr>
          <w:rFonts w:eastAsia="Times New Roman" w:cs="Arial"/>
          <w:szCs w:val="24"/>
          <w:lang w:eastAsia="en-GB"/>
        </w:rPr>
        <w:t>in the case where a person has moved into a new dwelling occupied as the home, except where paragraph (4) applies, for a period not exceeding 4 benefit weeks from the date on which he moved if he could not reasonably have avoided liability in respect of two dwellings; or</w:t>
      </w:r>
    </w:p>
    <w:p w:rsidR="004C6276" w:rsidRDefault="004C6276" w:rsidP="004C6276">
      <w:pPr>
        <w:ind w:left="426"/>
        <w:jc w:val="both"/>
        <w:rPr>
          <w:rFonts w:eastAsia="Times New Roman" w:cs="Arial"/>
          <w:szCs w:val="24"/>
          <w:lang w:eastAsia="en-GB"/>
        </w:rPr>
      </w:pPr>
    </w:p>
    <w:p w:rsidR="004C6276" w:rsidRPr="00E272D1" w:rsidRDefault="004C6276" w:rsidP="004C6276">
      <w:pPr>
        <w:ind w:left="426"/>
        <w:jc w:val="both"/>
        <w:rPr>
          <w:rFonts w:eastAsia="Times New Roman" w:cs="Arial"/>
          <w:szCs w:val="24"/>
          <w:lang w:eastAsia="en-GB"/>
        </w:rPr>
      </w:pPr>
      <w:r w:rsidRPr="00E272D1">
        <w:rPr>
          <w:rFonts w:eastAsia="Times New Roman" w:cs="Arial"/>
          <w:szCs w:val="24"/>
          <w:lang w:eastAsia="en-GB"/>
        </w:rPr>
        <w:t>(e)</w:t>
      </w:r>
      <w:r>
        <w:rPr>
          <w:rFonts w:eastAsia="Times New Roman" w:cs="Arial"/>
          <w:szCs w:val="24"/>
          <w:lang w:eastAsia="en-GB"/>
        </w:rPr>
        <w:t xml:space="preserve"> </w:t>
      </w:r>
      <w:proofErr w:type="gramStart"/>
      <w:r w:rsidRPr="00E272D1">
        <w:rPr>
          <w:rFonts w:eastAsia="Times New Roman" w:cs="Arial"/>
          <w:szCs w:val="24"/>
          <w:lang w:eastAsia="en-GB"/>
        </w:rPr>
        <w:t>in</w:t>
      </w:r>
      <w:proofErr w:type="gramEnd"/>
      <w:r w:rsidRPr="00E272D1">
        <w:rPr>
          <w:rFonts w:eastAsia="Times New Roman" w:cs="Arial"/>
          <w:szCs w:val="24"/>
          <w:lang w:eastAsia="en-GB"/>
        </w:rPr>
        <w:t xml:space="preserve"> the case where a person—</w:t>
      </w:r>
    </w:p>
    <w:p w:rsidR="004C6276" w:rsidRPr="00E272D1" w:rsidRDefault="004C6276" w:rsidP="004C6276">
      <w:pPr>
        <w:ind w:left="851"/>
        <w:jc w:val="both"/>
        <w:rPr>
          <w:rFonts w:eastAsia="Times New Roman" w:cs="Arial"/>
          <w:szCs w:val="24"/>
          <w:lang w:eastAsia="en-GB"/>
        </w:rPr>
      </w:pPr>
      <w:r w:rsidRPr="00E272D1">
        <w:rPr>
          <w:rFonts w:eastAsia="Times New Roman" w:cs="Arial"/>
          <w:szCs w:val="24"/>
          <w:lang w:eastAsia="en-GB"/>
        </w:rPr>
        <w:t>(</w:t>
      </w:r>
      <w:proofErr w:type="spellStart"/>
      <w:r w:rsidRPr="00E272D1">
        <w:rPr>
          <w:rFonts w:eastAsia="Times New Roman" w:cs="Arial"/>
          <w:szCs w:val="24"/>
          <w:lang w:eastAsia="en-GB"/>
        </w:rPr>
        <w:t>i</w:t>
      </w:r>
      <w:proofErr w:type="spellEnd"/>
      <w:r w:rsidRPr="00E272D1">
        <w:rPr>
          <w:rFonts w:eastAsia="Times New Roman" w:cs="Arial"/>
          <w:szCs w:val="24"/>
          <w:lang w:eastAsia="en-GB"/>
        </w:rPr>
        <w:t>)</w:t>
      </w:r>
      <w:r>
        <w:rPr>
          <w:rFonts w:eastAsia="Times New Roman" w:cs="Arial"/>
          <w:szCs w:val="24"/>
          <w:lang w:eastAsia="en-GB"/>
        </w:rPr>
        <w:t xml:space="preserve"> </w:t>
      </w:r>
      <w:r w:rsidRPr="00E272D1">
        <w:rPr>
          <w:rFonts w:eastAsia="Times New Roman" w:cs="Arial"/>
          <w:szCs w:val="24"/>
          <w:lang w:eastAsia="en-GB"/>
        </w:rPr>
        <w:t>is treated by virtue of paragraph (8) as occupying a dwelling as his home ("the new dwelling") and sub-paragraph (c)(</w:t>
      </w:r>
      <w:proofErr w:type="spellStart"/>
      <w:r w:rsidRPr="00E272D1">
        <w:rPr>
          <w:rFonts w:eastAsia="Times New Roman" w:cs="Arial"/>
          <w:szCs w:val="24"/>
          <w:lang w:eastAsia="en-GB"/>
        </w:rPr>
        <w:t>i</w:t>
      </w:r>
      <w:proofErr w:type="spellEnd"/>
      <w:r w:rsidRPr="00E272D1">
        <w:rPr>
          <w:rFonts w:eastAsia="Times New Roman" w:cs="Arial"/>
          <w:szCs w:val="24"/>
          <w:lang w:eastAsia="en-GB"/>
        </w:rPr>
        <w:t>) of that paragraph applies; and</w:t>
      </w:r>
    </w:p>
    <w:p w:rsidR="004C6276" w:rsidRDefault="004C6276" w:rsidP="004C6276">
      <w:pPr>
        <w:ind w:left="851"/>
        <w:jc w:val="both"/>
        <w:rPr>
          <w:rFonts w:eastAsia="Times New Roman" w:cs="Arial"/>
          <w:szCs w:val="24"/>
          <w:lang w:eastAsia="en-GB"/>
        </w:rPr>
      </w:pPr>
      <w:r w:rsidRPr="00E272D1">
        <w:rPr>
          <w:rFonts w:eastAsia="Times New Roman" w:cs="Arial"/>
          <w:szCs w:val="24"/>
          <w:lang w:eastAsia="en-GB"/>
        </w:rPr>
        <w:lastRenderedPageBreak/>
        <w:t>(ii)</w:t>
      </w:r>
      <w:r>
        <w:rPr>
          <w:rFonts w:eastAsia="Times New Roman" w:cs="Arial"/>
          <w:szCs w:val="24"/>
          <w:lang w:eastAsia="en-GB"/>
        </w:rPr>
        <w:t xml:space="preserve"> </w:t>
      </w:r>
      <w:proofErr w:type="gramStart"/>
      <w:r w:rsidRPr="00E272D1">
        <w:rPr>
          <w:rFonts w:eastAsia="Times New Roman" w:cs="Arial"/>
          <w:szCs w:val="24"/>
          <w:lang w:eastAsia="en-GB"/>
        </w:rPr>
        <w:t>he</w:t>
      </w:r>
      <w:proofErr w:type="gramEnd"/>
      <w:r w:rsidRPr="00E272D1">
        <w:rPr>
          <w:rFonts w:eastAsia="Times New Roman" w:cs="Arial"/>
          <w:szCs w:val="24"/>
          <w:lang w:eastAsia="en-GB"/>
        </w:rPr>
        <w:t xml:space="preserve"> has occupied another dwelling as his home on any day within the period of 4 weeks immediately preceding the date he moved to the new dwelling</w:t>
      </w:r>
    </w:p>
    <w:p w:rsidR="004C6276" w:rsidRPr="00E272D1" w:rsidRDefault="004C6276" w:rsidP="004C6276">
      <w:pPr>
        <w:ind w:left="426"/>
        <w:jc w:val="both"/>
        <w:rPr>
          <w:rFonts w:eastAsia="Times New Roman" w:cs="Arial"/>
          <w:szCs w:val="24"/>
          <w:lang w:eastAsia="en-GB"/>
        </w:rPr>
      </w:pPr>
      <w:proofErr w:type="gramStart"/>
      <w:r w:rsidRPr="00E272D1">
        <w:rPr>
          <w:rFonts w:eastAsia="Times New Roman" w:cs="Arial"/>
          <w:szCs w:val="24"/>
          <w:lang w:eastAsia="en-GB"/>
        </w:rPr>
        <w:t>for</w:t>
      </w:r>
      <w:proofErr w:type="gramEnd"/>
      <w:r w:rsidRPr="00E272D1">
        <w:rPr>
          <w:rFonts w:eastAsia="Times New Roman" w:cs="Arial"/>
          <w:szCs w:val="24"/>
          <w:lang w:eastAsia="en-GB"/>
        </w:rPr>
        <w:t xml:space="preserve"> a period not exceeding 4 benefit weeks immediately preceding the date on which he moved.</w:t>
      </w:r>
    </w:p>
    <w:p w:rsidR="00A34C88" w:rsidRDefault="004C6276" w:rsidP="004C6276">
      <w:pPr>
        <w:rPr>
          <w:b/>
          <w:sz w:val="36"/>
        </w:rPr>
      </w:pPr>
      <w:r>
        <w:rPr>
          <w:b/>
          <w:sz w:val="36"/>
        </w:rPr>
        <w:t xml:space="preserve"> </w:t>
      </w:r>
    </w:p>
    <w:p w:rsidR="00A34C88" w:rsidRDefault="00A34C88" w:rsidP="00DD7A89">
      <w:pPr>
        <w:jc w:val="center"/>
        <w:rPr>
          <w:b/>
          <w:sz w:val="36"/>
        </w:rPr>
      </w:pPr>
    </w:p>
    <w:p w:rsidR="00A34C88" w:rsidRDefault="00A34C88" w:rsidP="00DD7A89">
      <w:pPr>
        <w:jc w:val="center"/>
        <w:rPr>
          <w:b/>
          <w:sz w:val="36"/>
        </w:rPr>
      </w:pPr>
      <w:r>
        <w:rPr>
          <w:b/>
          <w:sz w:val="36"/>
        </w:rPr>
        <w:br w:type="page"/>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t>Appendix 1</w:t>
      </w:r>
      <w:r w:rsidR="00F84F19">
        <w:rPr>
          <w:b/>
          <w:sz w:val="36"/>
        </w:rPr>
        <w:t>4</w:t>
      </w:r>
    </w:p>
    <w:p w:rsidR="00A34C88" w:rsidRDefault="00A34C88" w:rsidP="00DD7A89">
      <w:pPr>
        <w:jc w:val="center"/>
        <w:rPr>
          <w:b/>
          <w:sz w:val="36"/>
        </w:rPr>
      </w:pPr>
    </w:p>
    <w:p w:rsidR="00A34C88" w:rsidRDefault="00A34C88" w:rsidP="00DD7A89">
      <w:pPr>
        <w:jc w:val="center"/>
        <w:rPr>
          <w:b/>
          <w:sz w:val="36"/>
        </w:rPr>
      </w:pPr>
    </w:p>
    <w:p w:rsidR="00730694" w:rsidRDefault="004C6276" w:rsidP="00730694">
      <w:pPr>
        <w:jc w:val="center"/>
        <w:rPr>
          <w:b/>
          <w:sz w:val="36"/>
        </w:rPr>
      </w:pPr>
      <w:r>
        <w:rPr>
          <w:b/>
          <w:sz w:val="36"/>
        </w:rPr>
        <w:t>Section 75 of the Social Security Administration Act</w:t>
      </w:r>
    </w:p>
    <w:p w:rsidR="00A34C88" w:rsidRDefault="00A34C88" w:rsidP="00DD7A89">
      <w:pPr>
        <w:jc w:val="center"/>
        <w:rPr>
          <w:b/>
          <w:sz w:val="36"/>
        </w:rPr>
      </w:pPr>
    </w:p>
    <w:p w:rsidR="00A34C88" w:rsidRDefault="00A34C88" w:rsidP="00DD7A89">
      <w:pPr>
        <w:jc w:val="center"/>
        <w:rPr>
          <w:b/>
          <w:sz w:val="36"/>
        </w:rPr>
      </w:pPr>
    </w:p>
    <w:p w:rsidR="004360CA" w:rsidRPr="00730694" w:rsidRDefault="004360CA" w:rsidP="00730694">
      <w:pPr>
        <w:rPr>
          <w:sz w:val="20"/>
        </w:rPr>
      </w:pPr>
      <w:r>
        <w:rPr>
          <w:b/>
          <w:sz w:val="36"/>
        </w:rPr>
        <w:br w:type="page"/>
      </w:r>
      <w:r w:rsidR="00DE3A21" w:rsidRPr="00DE3A21">
        <w:rPr>
          <w:b/>
          <w:sz w:val="28"/>
        </w:rPr>
        <w:lastRenderedPageBreak/>
        <w:t xml:space="preserve">75. </w:t>
      </w:r>
      <w:r w:rsidR="00DE3A21">
        <w:rPr>
          <w:b/>
          <w:sz w:val="28"/>
        </w:rPr>
        <w:t>Overpayments of Housing Benefit</w:t>
      </w:r>
    </w:p>
    <w:p w:rsidR="00DE3A21" w:rsidRDefault="00DE3A21" w:rsidP="00DE3A21"/>
    <w:p w:rsidR="00DE3A21" w:rsidRDefault="00DE3A21" w:rsidP="00DE3A21">
      <w:r>
        <w:t>(1) Except where regulations otherwise provide, any amount of housing benefit determined in accordance with regulations to have been paid in excess of entitlement may be recovered either by the Secretary of State or by the authority which paid the benefit.</w:t>
      </w:r>
    </w:p>
    <w:p w:rsidR="00DE3A21" w:rsidRDefault="00DE3A21" w:rsidP="00DE3A21"/>
    <w:p w:rsidR="00DE3A21" w:rsidRDefault="00DE3A21" w:rsidP="00DE3A21">
      <w:r>
        <w:t>(2) Regulations may require such an authority to recover such an amount in such circumstances as may be prescribed.</w:t>
      </w:r>
    </w:p>
    <w:p w:rsidR="00DE3A21" w:rsidRDefault="00DE3A21" w:rsidP="00DE3A21"/>
    <w:p w:rsidR="00DE3A21" w:rsidRDefault="00DE3A21" w:rsidP="00DE3A21">
      <w:r>
        <w:t>(3) An amount recoverable under this section shall be recoverable–</w:t>
      </w:r>
    </w:p>
    <w:p w:rsidR="00DE3A21" w:rsidRDefault="00DE3A21" w:rsidP="00DE3A21"/>
    <w:p w:rsidR="00DE3A21" w:rsidRDefault="00DE3A21" w:rsidP="00DE3A21">
      <w:pPr>
        <w:ind w:left="540"/>
      </w:pPr>
      <w:r>
        <w:t xml:space="preserve">(a) </w:t>
      </w:r>
      <w:proofErr w:type="gramStart"/>
      <w:r>
        <w:t>except</w:t>
      </w:r>
      <w:proofErr w:type="gramEnd"/>
      <w:r>
        <w:t xml:space="preserve"> in such circumstances as may be prescribed, from the person to whom it was paid; and</w:t>
      </w:r>
    </w:p>
    <w:p w:rsidR="00DE3A21" w:rsidRDefault="00DE3A21" w:rsidP="00DE3A21">
      <w:pPr>
        <w:ind w:left="540"/>
      </w:pPr>
    </w:p>
    <w:p w:rsidR="00DE3A21" w:rsidRDefault="00DE3A21" w:rsidP="00DE3A21">
      <w:pPr>
        <w:ind w:left="540"/>
      </w:pPr>
      <w:r>
        <w:t xml:space="preserve">(b) </w:t>
      </w:r>
      <w:proofErr w:type="gramStart"/>
      <w:r>
        <w:t>where</w:t>
      </w:r>
      <w:proofErr w:type="gramEnd"/>
      <w:r>
        <w:t xml:space="preserve"> regulations so provide, from such other person (as well as, or instead of, the person to whom it was paid) as may be prescribed.</w:t>
      </w:r>
    </w:p>
    <w:p w:rsidR="00DE3A21" w:rsidRDefault="00DE3A21" w:rsidP="00DE3A21"/>
    <w:p w:rsidR="00DE3A21" w:rsidRDefault="00DE3A21" w:rsidP="00DE3A21">
      <w:r>
        <w:t>(4) Any amount recoverable under this section may, without prejudice to any other method of recovery, be recovered by deduction from prescribed benefits.</w:t>
      </w:r>
    </w:p>
    <w:p w:rsidR="00DE3A21" w:rsidRDefault="00DE3A21" w:rsidP="00DE3A21"/>
    <w:p w:rsidR="00DE3A21" w:rsidRDefault="00DE3A21" w:rsidP="00DE3A21">
      <w:r>
        <w:t>(5) Where an amount paid to a person on behalf of another person is recoverable under this section, subsections (3) and (4) above authorise its recovery from the person to whom it was paid by deduction-</w:t>
      </w:r>
    </w:p>
    <w:p w:rsidR="00DE3A21" w:rsidRDefault="00DE3A21" w:rsidP="00DE3A21"/>
    <w:p w:rsidR="00DE3A21" w:rsidRDefault="00DE3A21" w:rsidP="00DE3A21">
      <w:pPr>
        <w:ind w:left="540"/>
      </w:pPr>
      <w:r>
        <w:t xml:space="preserve">(a) </w:t>
      </w:r>
      <w:proofErr w:type="gramStart"/>
      <w:r>
        <w:t>from</w:t>
      </w:r>
      <w:proofErr w:type="gramEnd"/>
      <w:r>
        <w:t xml:space="preserve"> prescribed benefits to which he is entitled;</w:t>
      </w:r>
    </w:p>
    <w:p w:rsidR="00DE3A21" w:rsidRDefault="00DE3A21" w:rsidP="00DE3A21">
      <w:pPr>
        <w:ind w:left="540"/>
      </w:pPr>
    </w:p>
    <w:p w:rsidR="00DE3A21" w:rsidRDefault="00DE3A21" w:rsidP="00DE3A21">
      <w:pPr>
        <w:ind w:left="540"/>
      </w:pPr>
      <w:r>
        <w:t>(b) from prescribed benefits paid to him to discharge (in whole or in part) an obligation owed to him by the person on whose behalf the recoverable amount was paid; or</w:t>
      </w:r>
    </w:p>
    <w:p w:rsidR="00DE3A21" w:rsidRDefault="00DE3A21" w:rsidP="00DE3A21">
      <w:pPr>
        <w:ind w:left="540"/>
      </w:pPr>
    </w:p>
    <w:p w:rsidR="00DE3A21" w:rsidRDefault="00DE3A21" w:rsidP="00DE3A21">
      <w:pPr>
        <w:ind w:left="540"/>
      </w:pPr>
      <w:r>
        <w:t xml:space="preserve">(c) </w:t>
      </w:r>
      <w:proofErr w:type="gramStart"/>
      <w:r>
        <w:t>from</w:t>
      </w:r>
      <w:proofErr w:type="gramEnd"/>
      <w:r>
        <w:t xml:space="preserve"> prescribed benefits paid to him to discharge (in whole or in part) an obligation owed to him by any other person.</w:t>
      </w:r>
    </w:p>
    <w:p w:rsidR="00DE3A21" w:rsidRDefault="00DE3A21" w:rsidP="00DE3A21"/>
    <w:p w:rsidR="00DE3A21" w:rsidRDefault="00DE3A21" w:rsidP="00DE3A21">
      <w:r>
        <w:t>(6) Where an amount is recovered as mentioned in paragraph (b) of subsection (5) above, the obligation specified in that paragraph shall in prescribed circumstances be taken to be discharged by the amount of the deduction; and where an amount is recovered as mentioned in paragraph (c) of that subsection, the obligation specified in that paragraph shall in all cases be taken to be so discharged.</w:t>
      </w:r>
    </w:p>
    <w:p w:rsidR="00DE3A21" w:rsidRDefault="00DE3A21" w:rsidP="00DE3A21"/>
    <w:p w:rsidR="00DE3A21" w:rsidRDefault="00DE3A21" w:rsidP="00DE3A21">
      <w:r>
        <w:t>(7) Where any amount recoverable under this section is to be recovered otherwise than by deduction from prescribed benefits-</w:t>
      </w:r>
    </w:p>
    <w:p w:rsidR="00DE3A21" w:rsidRDefault="00DE3A21" w:rsidP="00DE3A21"/>
    <w:p w:rsidR="00DE3A21" w:rsidRDefault="00DE3A21" w:rsidP="00DE3A21">
      <w:pPr>
        <w:ind w:left="540"/>
      </w:pPr>
      <w:r>
        <w:t>(a) if the person from whom it is recoverable resides in England and Wales and the county court so orders, it is recoverable by execution issued from the county court or otherwise as if it were payable under an order of that court; and</w:t>
      </w:r>
    </w:p>
    <w:p w:rsidR="00DE3A21" w:rsidRDefault="00DE3A21" w:rsidP="00DE3A21">
      <w:pPr>
        <w:ind w:left="540"/>
      </w:pPr>
    </w:p>
    <w:p w:rsidR="00DE3A21" w:rsidRDefault="00DE3A21" w:rsidP="00DE3A21">
      <w:pPr>
        <w:ind w:left="540"/>
      </w:pPr>
      <w:r>
        <w:t xml:space="preserve">(b) </w:t>
      </w:r>
      <w:proofErr w:type="gramStart"/>
      <w:r>
        <w:t>if</w:t>
      </w:r>
      <w:proofErr w:type="gramEnd"/>
      <w:r>
        <w:t xml:space="preserve"> he resides in </w:t>
      </w:r>
      <w:smartTag w:uri="urn:schemas-microsoft-com:office:smarttags" w:element="country-region">
        <w:r>
          <w:t>Scotland</w:t>
        </w:r>
      </w:smartTag>
      <w:r>
        <w:t xml:space="preserve">, it may be enforced in the same manner as an extract registered decree arbitral bearing a warrant for execution issued by the sheriff court of any </w:t>
      </w:r>
      <w:proofErr w:type="spellStart"/>
      <w:r>
        <w:t>sheriffdom</w:t>
      </w:r>
      <w:proofErr w:type="spellEnd"/>
      <w:r>
        <w:t xml:space="preserve"> in </w:t>
      </w:r>
      <w:smartTag w:uri="urn:schemas-microsoft-com:office:smarttags" w:element="country-region">
        <w:smartTag w:uri="urn:schemas-microsoft-com:office:smarttags" w:element="place">
          <w:r>
            <w:t>Scotland</w:t>
          </w:r>
        </w:smartTag>
      </w:smartTag>
      <w:r>
        <w:t>.</w:t>
      </w:r>
    </w:p>
    <w:p w:rsidR="00A34C88" w:rsidRDefault="00A34C88" w:rsidP="00730694">
      <w:r>
        <w:br w:type="page"/>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t>Appendix 1</w:t>
      </w:r>
      <w:r w:rsidR="00F84F19">
        <w:rPr>
          <w:b/>
          <w:sz w:val="36"/>
        </w:rPr>
        <w:t>5</w:t>
      </w:r>
    </w:p>
    <w:p w:rsidR="00A34C88" w:rsidRDefault="00A34C88" w:rsidP="00DD7A89">
      <w:pPr>
        <w:jc w:val="center"/>
        <w:rPr>
          <w:b/>
          <w:sz w:val="36"/>
        </w:rPr>
      </w:pPr>
    </w:p>
    <w:p w:rsidR="00A34C88" w:rsidRDefault="00A34C88" w:rsidP="00DD7A89">
      <w:pPr>
        <w:jc w:val="center"/>
        <w:rPr>
          <w:b/>
          <w:sz w:val="36"/>
        </w:rPr>
      </w:pPr>
    </w:p>
    <w:p w:rsidR="00730694" w:rsidRDefault="00DE3A21" w:rsidP="00DD7A89">
      <w:pPr>
        <w:jc w:val="center"/>
        <w:rPr>
          <w:b/>
          <w:sz w:val="36"/>
        </w:rPr>
      </w:pPr>
      <w:r>
        <w:rPr>
          <w:b/>
          <w:sz w:val="36"/>
        </w:rPr>
        <w:t>Regulation 100 of the HB Regulations 2006</w:t>
      </w:r>
    </w:p>
    <w:p w:rsidR="00DE3A21" w:rsidRPr="00DE3A21" w:rsidRDefault="00730694" w:rsidP="00DE3A21">
      <w:pPr>
        <w:rPr>
          <w:b/>
        </w:rPr>
      </w:pPr>
      <w:r>
        <w:rPr>
          <w:b/>
          <w:sz w:val="36"/>
        </w:rPr>
        <w:br w:type="page"/>
      </w:r>
      <w:r w:rsidR="00DE3A21">
        <w:rPr>
          <w:b/>
        </w:rPr>
        <w:lastRenderedPageBreak/>
        <w:t>100.  Recoverable overpayments</w:t>
      </w:r>
    </w:p>
    <w:p w:rsidR="00DE3A21" w:rsidRDefault="00DE3A21" w:rsidP="00DE3A21">
      <w:pPr>
        <w:rPr>
          <w:b/>
          <w:sz w:val="36"/>
        </w:rPr>
      </w:pPr>
    </w:p>
    <w:p w:rsidR="00DE3A21" w:rsidRDefault="00DE3A21" w:rsidP="00DE3A21">
      <w:proofErr w:type="gramStart"/>
      <w:r>
        <w:t>(1) Any overpayment, except one to which paragraph (2) applies, shall be recoverable.</w:t>
      </w:r>
      <w:proofErr w:type="gramEnd"/>
      <w:r>
        <w:t xml:space="preserve">  </w:t>
      </w:r>
    </w:p>
    <w:p w:rsidR="00DE3A21" w:rsidRDefault="00DE3A21" w:rsidP="00DE3A21"/>
    <w:p w:rsidR="00DE3A21" w:rsidRDefault="00DE3A21" w:rsidP="00DE3A21">
      <w:r>
        <w:t xml:space="preserve">(2) Subject to paragraph (4) this paragraph applies to an overpayment which arose in consequence of an official error where the claimant or a person acting on his behalf or any other person to whom the payment is made could not, at the time of receipt of the payment or of any notice relating to that payment, reasonably have been expected to realise that it was an overpayment. </w:t>
      </w:r>
    </w:p>
    <w:p w:rsidR="00DE3A21" w:rsidRDefault="00DE3A21" w:rsidP="00DE3A21"/>
    <w:p w:rsidR="00DE3A21" w:rsidRDefault="00DE3A21" w:rsidP="00DE3A21">
      <w:r>
        <w:t xml:space="preserve">(3) In paragraph (2), "overpayment which arose in consequence of an official error" means an overpayment caused by a mistake made whether in the form of an act or omission by—  </w:t>
      </w:r>
    </w:p>
    <w:p w:rsidR="00DE3A21" w:rsidRDefault="00DE3A21" w:rsidP="00DE3A21">
      <w:pPr>
        <w:ind w:left="540"/>
      </w:pPr>
      <w:r>
        <w:t xml:space="preserve">(a) </w:t>
      </w:r>
      <w:proofErr w:type="gramStart"/>
      <w:r>
        <w:t>the</w:t>
      </w:r>
      <w:proofErr w:type="gramEnd"/>
      <w:r>
        <w:t xml:space="preserve"> relevant authority;  </w:t>
      </w:r>
    </w:p>
    <w:p w:rsidR="00DE3A21" w:rsidRDefault="00DE3A21" w:rsidP="00DE3A21">
      <w:pPr>
        <w:ind w:left="540"/>
      </w:pPr>
      <w:r>
        <w:t xml:space="preserve">(b) </w:t>
      </w:r>
      <w:proofErr w:type="gramStart"/>
      <w:r>
        <w:t>an</w:t>
      </w:r>
      <w:proofErr w:type="gramEnd"/>
      <w:r>
        <w:t xml:space="preserve"> officer or person acting for that authority;  </w:t>
      </w:r>
    </w:p>
    <w:p w:rsidR="00DE3A21" w:rsidRDefault="00DE3A21" w:rsidP="00DE3A21">
      <w:pPr>
        <w:ind w:left="540"/>
      </w:pPr>
      <w:r>
        <w:t xml:space="preserve">(c) </w:t>
      </w:r>
      <w:proofErr w:type="gramStart"/>
      <w:r>
        <w:t>an</w:t>
      </w:r>
      <w:proofErr w:type="gramEnd"/>
      <w:r>
        <w:t xml:space="preserve"> officer of—  </w:t>
      </w:r>
    </w:p>
    <w:p w:rsidR="00DE3A21" w:rsidRDefault="00DE3A21" w:rsidP="00DE3A21">
      <w:pPr>
        <w:ind w:left="900"/>
      </w:pPr>
      <w:r>
        <w:t>(</w:t>
      </w:r>
      <w:proofErr w:type="spellStart"/>
      <w:r>
        <w:t>i</w:t>
      </w:r>
      <w:proofErr w:type="spellEnd"/>
      <w:r>
        <w:t xml:space="preserve">) </w:t>
      </w:r>
      <w:proofErr w:type="gramStart"/>
      <w:r>
        <w:t>the</w:t>
      </w:r>
      <w:proofErr w:type="gramEnd"/>
      <w:r>
        <w:t xml:space="preserve"> Department for Work and Pensions; or  </w:t>
      </w:r>
    </w:p>
    <w:p w:rsidR="00DE3A21" w:rsidRDefault="00DE3A21" w:rsidP="00DE3A21">
      <w:pPr>
        <w:ind w:left="900"/>
      </w:pPr>
      <w:r>
        <w:t xml:space="preserve">(ii) Revenue and Customs, acting as such; or  </w:t>
      </w:r>
    </w:p>
    <w:p w:rsidR="00DE3A21" w:rsidRDefault="00DE3A21" w:rsidP="00DE3A21">
      <w:pPr>
        <w:ind w:left="540"/>
      </w:pPr>
      <w:r>
        <w:t xml:space="preserve">(d) </w:t>
      </w:r>
      <w:proofErr w:type="gramStart"/>
      <w:r>
        <w:t>a</w:t>
      </w:r>
      <w:proofErr w:type="gramEnd"/>
      <w:r>
        <w:t xml:space="preserve"> person providing services to the Department for Work and Pensions or to the Commissioners for Her Majesty´s Revenue and Customs,  </w:t>
      </w:r>
    </w:p>
    <w:p w:rsidR="00DE3A21" w:rsidRDefault="00DE3A21" w:rsidP="00DE3A21"/>
    <w:p w:rsidR="00DE3A21" w:rsidRDefault="00DE3A21" w:rsidP="00DE3A21">
      <w:proofErr w:type="gramStart"/>
      <w:r>
        <w:t>where</w:t>
      </w:r>
      <w:proofErr w:type="gramEnd"/>
      <w:r>
        <w:t xml:space="preserve"> the claimant, a person acting on his behalf or any other person to whom the payment is made, did not cause or materially contribute to that mistake, act or omission.  </w:t>
      </w:r>
    </w:p>
    <w:p w:rsidR="00DE3A21" w:rsidRDefault="00DE3A21" w:rsidP="00DE3A21"/>
    <w:p w:rsidR="00DE3A21" w:rsidRDefault="00DE3A21" w:rsidP="00DE3A21">
      <w:r>
        <w:t xml:space="preserve">(4) Where in consequence of an official error, a person has been awarded rent rebate to which he was not entitled or which exceeded the benefit to which he was entitled, upon the award being revised or superseded any overpayment of benefit, which remains credited to him by the relevant authority in respect of a period after the date on which the revision or supersession took place, shall be recoverable. </w:t>
      </w:r>
    </w:p>
    <w:p w:rsidR="00730694" w:rsidRPr="00730694" w:rsidRDefault="00730694" w:rsidP="00DE3A21">
      <w:pPr>
        <w:pStyle w:val="Heading2"/>
        <w:rPr>
          <w:rFonts w:cs="Arial"/>
        </w:rPr>
      </w:pP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p>
    <w:p w:rsidR="00A34C88" w:rsidRDefault="00A34C88" w:rsidP="007D1BB8">
      <w:r>
        <w:br w:type="page"/>
      </w:r>
    </w:p>
    <w:p w:rsidR="00A34C88" w:rsidRDefault="00A34C88" w:rsidP="00DD7A89">
      <w:pPr>
        <w:jc w:val="center"/>
        <w:rPr>
          <w:b/>
          <w:sz w:val="36"/>
        </w:rPr>
      </w:pPr>
    </w:p>
    <w:p w:rsidR="00A34C88" w:rsidRDefault="00A34C88" w:rsidP="00DD7A89">
      <w:pPr>
        <w:jc w:val="center"/>
        <w:rPr>
          <w:b/>
          <w:sz w:val="36"/>
        </w:rPr>
      </w:pPr>
    </w:p>
    <w:p w:rsidR="00A34C88" w:rsidRDefault="00A34C88" w:rsidP="00DD7A89">
      <w:pPr>
        <w:jc w:val="center"/>
        <w:rPr>
          <w:b/>
          <w:sz w:val="36"/>
        </w:rPr>
      </w:pPr>
      <w:r>
        <w:rPr>
          <w:b/>
          <w:sz w:val="36"/>
        </w:rPr>
        <w:t>Appendix 1</w:t>
      </w:r>
      <w:r w:rsidR="00F84F19">
        <w:rPr>
          <w:b/>
          <w:sz w:val="36"/>
        </w:rPr>
        <w:t>6</w:t>
      </w:r>
    </w:p>
    <w:p w:rsidR="00A34C88" w:rsidRDefault="00A34C88" w:rsidP="00DD7A89">
      <w:pPr>
        <w:jc w:val="center"/>
        <w:rPr>
          <w:b/>
          <w:sz w:val="36"/>
        </w:rPr>
      </w:pPr>
    </w:p>
    <w:p w:rsidR="00A34C88" w:rsidRDefault="00A34C88" w:rsidP="00DD7A89">
      <w:pPr>
        <w:jc w:val="center"/>
        <w:rPr>
          <w:b/>
          <w:sz w:val="36"/>
        </w:rPr>
      </w:pPr>
    </w:p>
    <w:p w:rsidR="00DE3A21" w:rsidRDefault="00DE3A21" w:rsidP="00DD7A89">
      <w:pPr>
        <w:jc w:val="center"/>
        <w:rPr>
          <w:b/>
          <w:sz w:val="36"/>
        </w:rPr>
      </w:pPr>
      <w:r>
        <w:rPr>
          <w:b/>
          <w:sz w:val="36"/>
        </w:rPr>
        <w:t>Regulation 101 of the</w:t>
      </w:r>
    </w:p>
    <w:p w:rsidR="00A34C88" w:rsidRDefault="00DE3A21" w:rsidP="00DD7A89">
      <w:pPr>
        <w:jc w:val="center"/>
        <w:rPr>
          <w:b/>
          <w:sz w:val="36"/>
        </w:rPr>
      </w:pPr>
      <w:r>
        <w:rPr>
          <w:b/>
          <w:sz w:val="36"/>
        </w:rPr>
        <w:t>Housing Benefit Regulations 2006</w:t>
      </w:r>
    </w:p>
    <w:p w:rsidR="00304D1A" w:rsidRPr="00E272D1" w:rsidRDefault="00A34C88" w:rsidP="00304D1A">
      <w:pPr>
        <w:rPr>
          <w:rFonts w:eastAsia="Times New Roman" w:cs="Arial"/>
          <w:b/>
          <w:bCs/>
          <w:szCs w:val="24"/>
          <w:lang w:eastAsia="en-GB"/>
        </w:rPr>
      </w:pPr>
      <w:r>
        <w:rPr>
          <w:b/>
          <w:sz w:val="36"/>
        </w:rPr>
        <w:br w:type="page"/>
      </w:r>
      <w:bookmarkStart w:id="45" w:name="ocdCaseNumber2"/>
      <w:bookmarkEnd w:id="45"/>
      <w:r w:rsidR="00304D1A" w:rsidRPr="00E272D1">
        <w:rPr>
          <w:rFonts w:eastAsia="Times New Roman" w:cs="Arial"/>
          <w:b/>
          <w:bCs/>
          <w:szCs w:val="24"/>
          <w:lang w:eastAsia="en-GB"/>
        </w:rPr>
        <w:lastRenderedPageBreak/>
        <w:t>101</w:t>
      </w:r>
      <w:proofErr w:type="gramStart"/>
      <w:r w:rsidR="00304D1A" w:rsidRPr="00E272D1">
        <w:rPr>
          <w:rFonts w:eastAsia="Times New Roman" w:cs="Arial"/>
          <w:b/>
          <w:bCs/>
          <w:szCs w:val="24"/>
          <w:lang w:eastAsia="en-GB"/>
        </w:rPr>
        <w:t>.—</w:t>
      </w:r>
      <w:proofErr w:type="gramEnd"/>
      <w:r w:rsidR="00304D1A">
        <w:rPr>
          <w:rFonts w:eastAsia="Times New Roman" w:cs="Arial"/>
          <w:bCs/>
          <w:szCs w:val="24"/>
          <w:lang w:eastAsia="en-GB"/>
        </w:rPr>
        <w:t xml:space="preserve"> </w:t>
      </w:r>
      <w:r w:rsidR="00304D1A" w:rsidRPr="00E272D1">
        <w:rPr>
          <w:rFonts w:eastAsia="Times New Roman" w:cs="Arial"/>
          <w:b/>
          <w:bCs/>
          <w:szCs w:val="24"/>
          <w:lang w:eastAsia="en-GB"/>
        </w:rPr>
        <w:t>Person from whom recovery may be sought</w:t>
      </w:r>
    </w:p>
    <w:p w:rsidR="00304D1A" w:rsidRDefault="00304D1A" w:rsidP="00304D1A">
      <w:pPr>
        <w:rPr>
          <w:rFonts w:eastAsia="Times New Roman" w:cs="Arial"/>
          <w:bCs/>
          <w:szCs w:val="24"/>
          <w:lang w:eastAsia="en-GB"/>
        </w:rPr>
      </w:pPr>
    </w:p>
    <w:p w:rsidR="00304D1A" w:rsidRPr="00E272D1" w:rsidRDefault="00304D1A" w:rsidP="00304D1A">
      <w:pPr>
        <w:rPr>
          <w:rFonts w:eastAsia="Times New Roman" w:cs="Arial"/>
          <w:bCs/>
          <w:szCs w:val="24"/>
          <w:lang w:eastAsia="en-GB"/>
        </w:rPr>
      </w:pPr>
      <w:r w:rsidRPr="00E272D1">
        <w:rPr>
          <w:rFonts w:eastAsia="Times New Roman" w:cs="Arial"/>
          <w:bCs/>
          <w:szCs w:val="24"/>
          <w:lang w:eastAsia="en-GB"/>
        </w:rPr>
        <w:t>(1)For the purposes of section 75(3</w:t>
      </w:r>
      <w:proofErr w:type="gramStart"/>
      <w:r w:rsidRPr="00E272D1">
        <w:rPr>
          <w:rFonts w:eastAsia="Times New Roman" w:cs="Arial"/>
          <w:bCs/>
          <w:szCs w:val="24"/>
          <w:lang w:eastAsia="en-GB"/>
        </w:rPr>
        <w:t>)(</w:t>
      </w:r>
      <w:proofErr w:type="gramEnd"/>
      <w:r w:rsidRPr="00E272D1">
        <w:rPr>
          <w:rFonts w:eastAsia="Times New Roman" w:cs="Arial"/>
          <w:bCs/>
          <w:szCs w:val="24"/>
          <w:lang w:eastAsia="en-GB"/>
        </w:rPr>
        <w:t>a) of the Administration Act</w:t>
      </w:r>
      <w:r>
        <w:rPr>
          <w:rFonts w:eastAsia="Times New Roman" w:cs="Arial"/>
          <w:bCs/>
          <w:szCs w:val="24"/>
          <w:lang w:eastAsia="en-GB"/>
        </w:rPr>
        <w:t xml:space="preserve"> </w:t>
      </w:r>
      <w:r w:rsidRPr="00E272D1">
        <w:rPr>
          <w:rFonts w:eastAsia="Times New Roman" w:cs="Arial"/>
          <w:bCs/>
          <w:szCs w:val="24"/>
          <w:lang w:eastAsia="en-GB"/>
        </w:rPr>
        <w:t>(prescribed circumstances in which an amount recoverable shall not be recovered</w:t>
      </w:r>
      <w:r>
        <w:rPr>
          <w:rFonts w:eastAsia="Times New Roman" w:cs="Arial"/>
          <w:bCs/>
          <w:szCs w:val="24"/>
          <w:lang w:eastAsia="en-GB"/>
        </w:rPr>
        <w:t xml:space="preserve"> </w:t>
      </w:r>
      <w:r w:rsidRPr="00E272D1">
        <w:rPr>
          <w:rFonts w:eastAsia="Times New Roman" w:cs="Arial"/>
          <w:bCs/>
          <w:szCs w:val="24"/>
          <w:lang w:eastAsia="en-GB"/>
        </w:rPr>
        <w:t>from the person to whom it was paid), the prescribed circumstance is–</w:t>
      </w:r>
    </w:p>
    <w:p w:rsidR="00304D1A" w:rsidRDefault="00304D1A" w:rsidP="00304D1A">
      <w:pPr>
        <w:rPr>
          <w:rFonts w:eastAsia="Times New Roman" w:cs="Arial"/>
          <w:bCs/>
          <w:szCs w:val="24"/>
          <w:lang w:eastAsia="en-GB"/>
        </w:rPr>
      </w:pPr>
    </w:p>
    <w:p w:rsidR="00304D1A" w:rsidRPr="00E272D1" w:rsidRDefault="00304D1A" w:rsidP="00304D1A">
      <w:pPr>
        <w:ind w:left="426"/>
        <w:rPr>
          <w:rFonts w:eastAsia="Times New Roman" w:cs="Arial"/>
          <w:bCs/>
          <w:szCs w:val="24"/>
          <w:lang w:eastAsia="en-GB"/>
        </w:rPr>
      </w:pPr>
      <w:r w:rsidRPr="00E272D1">
        <w:rPr>
          <w:rFonts w:eastAsia="Times New Roman" w:cs="Arial"/>
          <w:bCs/>
          <w:szCs w:val="24"/>
          <w:lang w:eastAsia="en-GB"/>
        </w:rPr>
        <w:t xml:space="preserve">(a) </w:t>
      </w:r>
      <w:proofErr w:type="gramStart"/>
      <w:r w:rsidRPr="00E272D1">
        <w:rPr>
          <w:rFonts w:eastAsia="Times New Roman" w:cs="Arial"/>
          <w:bCs/>
          <w:szCs w:val="24"/>
          <w:lang w:eastAsia="en-GB"/>
        </w:rPr>
        <w:t>housing</w:t>
      </w:r>
      <w:proofErr w:type="gramEnd"/>
      <w:r w:rsidRPr="00E272D1">
        <w:rPr>
          <w:rFonts w:eastAsia="Times New Roman" w:cs="Arial"/>
          <w:bCs/>
          <w:szCs w:val="24"/>
          <w:lang w:eastAsia="en-GB"/>
        </w:rPr>
        <w:t xml:space="preserve"> benefit has been paid in accordance with regulation 95</w:t>
      </w:r>
      <w:r>
        <w:rPr>
          <w:rFonts w:eastAsia="Times New Roman" w:cs="Arial"/>
          <w:bCs/>
          <w:szCs w:val="24"/>
          <w:lang w:eastAsia="en-GB"/>
        </w:rPr>
        <w:t xml:space="preserve"> </w:t>
      </w:r>
      <w:r w:rsidRPr="00E272D1">
        <w:rPr>
          <w:rFonts w:eastAsia="Times New Roman" w:cs="Arial"/>
          <w:bCs/>
          <w:szCs w:val="24"/>
          <w:lang w:eastAsia="en-GB"/>
        </w:rPr>
        <w:t>(circumstances in which payment is to be made to the landlord) or regulation</w:t>
      </w:r>
      <w:r>
        <w:rPr>
          <w:rFonts w:eastAsia="Times New Roman" w:cs="Arial"/>
          <w:bCs/>
          <w:szCs w:val="24"/>
          <w:lang w:eastAsia="en-GB"/>
        </w:rPr>
        <w:t xml:space="preserve"> </w:t>
      </w:r>
      <w:r w:rsidRPr="00E272D1">
        <w:rPr>
          <w:rFonts w:eastAsia="Times New Roman" w:cs="Arial"/>
          <w:bCs/>
          <w:szCs w:val="24"/>
          <w:lang w:eastAsia="en-GB"/>
        </w:rPr>
        <w:t>96 (circumstances in which payment may be made to a landlord);</w:t>
      </w:r>
    </w:p>
    <w:p w:rsidR="00304D1A" w:rsidRPr="00E272D1" w:rsidRDefault="00304D1A" w:rsidP="00304D1A">
      <w:pPr>
        <w:ind w:left="426"/>
        <w:rPr>
          <w:rFonts w:eastAsia="Times New Roman" w:cs="Arial"/>
          <w:bCs/>
          <w:szCs w:val="24"/>
          <w:lang w:eastAsia="en-GB"/>
        </w:rPr>
      </w:pPr>
      <w:r w:rsidRPr="00E272D1">
        <w:rPr>
          <w:rFonts w:eastAsia="Times New Roman" w:cs="Arial"/>
          <w:bCs/>
          <w:szCs w:val="24"/>
          <w:lang w:eastAsia="en-GB"/>
        </w:rPr>
        <w:t xml:space="preserve">(b) </w:t>
      </w:r>
      <w:proofErr w:type="gramStart"/>
      <w:r w:rsidRPr="00E272D1">
        <w:rPr>
          <w:rFonts w:eastAsia="Times New Roman" w:cs="Arial"/>
          <w:bCs/>
          <w:szCs w:val="24"/>
          <w:lang w:eastAsia="en-GB"/>
        </w:rPr>
        <w:t>the</w:t>
      </w:r>
      <w:proofErr w:type="gramEnd"/>
      <w:r w:rsidRPr="00E272D1">
        <w:rPr>
          <w:rFonts w:eastAsia="Times New Roman" w:cs="Arial"/>
          <w:bCs/>
          <w:szCs w:val="24"/>
          <w:lang w:eastAsia="en-GB"/>
        </w:rPr>
        <w:t xml:space="preserve"> landlord has notified the relevant authority or the Secretary of State in</w:t>
      </w:r>
      <w:r>
        <w:rPr>
          <w:rFonts w:eastAsia="Times New Roman" w:cs="Arial"/>
          <w:bCs/>
          <w:szCs w:val="24"/>
          <w:lang w:eastAsia="en-GB"/>
        </w:rPr>
        <w:t xml:space="preserve"> </w:t>
      </w:r>
      <w:r w:rsidRPr="00E272D1">
        <w:rPr>
          <w:rFonts w:eastAsia="Times New Roman" w:cs="Arial"/>
          <w:bCs/>
          <w:szCs w:val="24"/>
          <w:lang w:eastAsia="en-GB"/>
        </w:rPr>
        <w:t>writing that he suspects that there has been an overpayment;</w:t>
      </w:r>
    </w:p>
    <w:p w:rsidR="00304D1A" w:rsidRPr="00E272D1" w:rsidRDefault="00304D1A" w:rsidP="00304D1A">
      <w:pPr>
        <w:ind w:left="426"/>
        <w:rPr>
          <w:rFonts w:eastAsia="Times New Roman" w:cs="Arial"/>
          <w:bCs/>
          <w:szCs w:val="24"/>
          <w:lang w:eastAsia="en-GB"/>
        </w:rPr>
      </w:pPr>
      <w:r>
        <w:rPr>
          <w:rFonts w:eastAsia="Times New Roman" w:cs="Arial"/>
          <w:bCs/>
          <w:szCs w:val="24"/>
          <w:lang w:eastAsia="en-GB"/>
        </w:rPr>
        <w:t>(</w:t>
      </w:r>
      <w:proofErr w:type="gramStart"/>
      <w:r w:rsidRPr="00E272D1">
        <w:rPr>
          <w:rFonts w:eastAsia="Times New Roman" w:cs="Arial"/>
          <w:bCs/>
          <w:szCs w:val="24"/>
          <w:lang w:eastAsia="en-GB"/>
        </w:rPr>
        <w:t>bb</w:t>
      </w:r>
      <w:proofErr w:type="gramEnd"/>
      <w:r w:rsidRPr="00E272D1">
        <w:rPr>
          <w:rFonts w:eastAsia="Times New Roman" w:cs="Arial"/>
          <w:bCs/>
          <w:szCs w:val="24"/>
          <w:lang w:eastAsia="en-GB"/>
        </w:rPr>
        <w:t>) the relevant authority is satisfied that the overpayment did not occur as a</w:t>
      </w:r>
      <w:r>
        <w:rPr>
          <w:rFonts w:eastAsia="Times New Roman" w:cs="Arial"/>
          <w:bCs/>
          <w:szCs w:val="24"/>
          <w:lang w:eastAsia="en-GB"/>
        </w:rPr>
        <w:t xml:space="preserve"> </w:t>
      </w:r>
      <w:r w:rsidRPr="00E272D1">
        <w:rPr>
          <w:rFonts w:eastAsia="Times New Roman" w:cs="Arial"/>
          <w:bCs/>
          <w:szCs w:val="24"/>
          <w:lang w:eastAsia="en-GB"/>
        </w:rPr>
        <w:t>result of any change of dwelling occupied by the claimant as his home;</w:t>
      </w:r>
    </w:p>
    <w:p w:rsidR="00304D1A" w:rsidRPr="00E272D1" w:rsidRDefault="00304D1A" w:rsidP="00304D1A">
      <w:pPr>
        <w:ind w:left="426"/>
        <w:rPr>
          <w:rFonts w:eastAsia="Times New Roman" w:cs="Arial"/>
          <w:bCs/>
          <w:szCs w:val="24"/>
          <w:lang w:eastAsia="en-GB"/>
        </w:rPr>
      </w:pPr>
      <w:r w:rsidRPr="00E272D1">
        <w:rPr>
          <w:rFonts w:eastAsia="Times New Roman" w:cs="Arial"/>
          <w:bCs/>
          <w:szCs w:val="24"/>
          <w:lang w:eastAsia="en-GB"/>
        </w:rPr>
        <w:t xml:space="preserve">(c) </w:t>
      </w:r>
      <w:proofErr w:type="gramStart"/>
      <w:r w:rsidRPr="00E272D1">
        <w:rPr>
          <w:rFonts w:eastAsia="Times New Roman" w:cs="Arial"/>
          <w:bCs/>
          <w:szCs w:val="24"/>
          <w:lang w:eastAsia="en-GB"/>
        </w:rPr>
        <w:t>it</w:t>
      </w:r>
      <w:proofErr w:type="gramEnd"/>
      <w:r w:rsidRPr="00E272D1">
        <w:rPr>
          <w:rFonts w:eastAsia="Times New Roman" w:cs="Arial"/>
          <w:bCs/>
          <w:szCs w:val="24"/>
          <w:lang w:eastAsia="en-GB"/>
        </w:rPr>
        <w:t xml:space="preserve"> appears to the relevant authority that, on the assumption that there has</w:t>
      </w:r>
      <w:r>
        <w:rPr>
          <w:rFonts w:eastAsia="Times New Roman" w:cs="Arial"/>
          <w:bCs/>
          <w:szCs w:val="24"/>
          <w:lang w:eastAsia="en-GB"/>
        </w:rPr>
        <w:t xml:space="preserve"> </w:t>
      </w:r>
      <w:r w:rsidRPr="00E272D1">
        <w:rPr>
          <w:rFonts w:eastAsia="Times New Roman" w:cs="Arial"/>
          <w:bCs/>
          <w:szCs w:val="24"/>
          <w:lang w:eastAsia="en-GB"/>
        </w:rPr>
        <w:t>been an overpayment–</w:t>
      </w:r>
    </w:p>
    <w:p w:rsidR="00304D1A" w:rsidRDefault="00304D1A" w:rsidP="00304D1A">
      <w:pPr>
        <w:ind w:left="851"/>
        <w:rPr>
          <w:rFonts w:eastAsia="Times New Roman" w:cs="Arial"/>
          <w:bCs/>
          <w:szCs w:val="24"/>
          <w:lang w:eastAsia="en-GB"/>
        </w:rPr>
      </w:pPr>
      <w:r w:rsidRPr="00E272D1">
        <w:rPr>
          <w:rFonts w:eastAsia="Times New Roman" w:cs="Arial"/>
          <w:bCs/>
          <w:szCs w:val="24"/>
          <w:lang w:eastAsia="en-GB"/>
        </w:rPr>
        <w:t>(</w:t>
      </w:r>
      <w:proofErr w:type="spellStart"/>
      <w:r w:rsidRPr="00E272D1">
        <w:rPr>
          <w:rFonts w:eastAsia="Times New Roman" w:cs="Arial"/>
          <w:bCs/>
          <w:szCs w:val="24"/>
          <w:lang w:eastAsia="en-GB"/>
        </w:rPr>
        <w:t>i</w:t>
      </w:r>
      <w:proofErr w:type="spellEnd"/>
      <w:r w:rsidRPr="00E272D1">
        <w:rPr>
          <w:rFonts w:eastAsia="Times New Roman" w:cs="Arial"/>
          <w:bCs/>
          <w:szCs w:val="24"/>
          <w:lang w:eastAsia="en-GB"/>
        </w:rPr>
        <w:t>) there are grounds for instituting proceedings against any person for an</w:t>
      </w:r>
      <w:r>
        <w:rPr>
          <w:rFonts w:eastAsia="Times New Roman" w:cs="Arial"/>
          <w:bCs/>
          <w:szCs w:val="24"/>
          <w:lang w:eastAsia="en-GB"/>
        </w:rPr>
        <w:t xml:space="preserve"> </w:t>
      </w:r>
      <w:r w:rsidRPr="00E272D1">
        <w:rPr>
          <w:rFonts w:eastAsia="Times New Roman" w:cs="Arial"/>
          <w:bCs/>
          <w:szCs w:val="24"/>
          <w:lang w:eastAsia="en-GB"/>
        </w:rPr>
        <w:t>offence under section 111A or 112</w:t>
      </w:r>
      <w:r>
        <w:rPr>
          <w:rFonts w:eastAsia="Times New Roman" w:cs="Arial"/>
          <w:bCs/>
          <w:szCs w:val="24"/>
          <w:lang w:eastAsia="en-GB"/>
        </w:rPr>
        <w:t xml:space="preserve">(1) of the Administration Act </w:t>
      </w:r>
      <w:r w:rsidRPr="00E272D1">
        <w:rPr>
          <w:rFonts w:eastAsia="Times New Roman" w:cs="Arial"/>
          <w:bCs/>
          <w:szCs w:val="24"/>
          <w:lang w:eastAsia="en-GB"/>
        </w:rPr>
        <w:t>(dishonest or false representations for obtaining benefit); or</w:t>
      </w:r>
    </w:p>
    <w:p w:rsidR="00304D1A" w:rsidRPr="00E272D1" w:rsidRDefault="00304D1A" w:rsidP="00304D1A">
      <w:pPr>
        <w:ind w:left="851"/>
        <w:rPr>
          <w:rFonts w:eastAsia="Times New Roman" w:cs="Arial"/>
          <w:bCs/>
          <w:szCs w:val="24"/>
          <w:lang w:eastAsia="en-GB"/>
        </w:rPr>
      </w:pPr>
      <w:r w:rsidRPr="00E272D1">
        <w:rPr>
          <w:rFonts w:eastAsia="Times New Roman" w:cs="Arial"/>
          <w:bCs/>
          <w:szCs w:val="24"/>
          <w:lang w:eastAsia="en-GB"/>
        </w:rPr>
        <w:t xml:space="preserve">(ii) </w:t>
      </w:r>
      <w:proofErr w:type="gramStart"/>
      <w:r w:rsidRPr="00E272D1">
        <w:rPr>
          <w:rFonts w:eastAsia="Times New Roman" w:cs="Arial"/>
          <w:bCs/>
          <w:szCs w:val="24"/>
          <w:lang w:eastAsia="en-GB"/>
        </w:rPr>
        <w:t>there</w:t>
      </w:r>
      <w:proofErr w:type="gramEnd"/>
      <w:r w:rsidRPr="00E272D1">
        <w:rPr>
          <w:rFonts w:eastAsia="Times New Roman" w:cs="Arial"/>
          <w:bCs/>
          <w:szCs w:val="24"/>
          <w:lang w:eastAsia="en-GB"/>
        </w:rPr>
        <w:t xml:space="preserve"> has been a deliberate failure to report a relevant change of</w:t>
      </w:r>
      <w:r>
        <w:rPr>
          <w:rFonts w:eastAsia="Times New Roman" w:cs="Arial"/>
          <w:bCs/>
          <w:szCs w:val="24"/>
          <w:lang w:eastAsia="en-GB"/>
        </w:rPr>
        <w:t xml:space="preserve"> </w:t>
      </w:r>
      <w:r w:rsidRPr="00E272D1">
        <w:rPr>
          <w:rFonts w:eastAsia="Times New Roman" w:cs="Arial"/>
          <w:bCs/>
          <w:szCs w:val="24"/>
          <w:lang w:eastAsia="en-GB"/>
        </w:rPr>
        <w:t>circumstances contrary to the requirement of regulation 88 (duty to notify</w:t>
      </w:r>
      <w:r>
        <w:rPr>
          <w:rFonts w:eastAsia="Times New Roman" w:cs="Arial"/>
          <w:bCs/>
          <w:szCs w:val="24"/>
          <w:lang w:eastAsia="en-GB"/>
        </w:rPr>
        <w:t xml:space="preserve"> </w:t>
      </w:r>
      <w:r w:rsidRPr="00E272D1">
        <w:rPr>
          <w:rFonts w:eastAsia="Times New Roman" w:cs="Arial"/>
          <w:bCs/>
          <w:szCs w:val="24"/>
          <w:lang w:eastAsia="en-GB"/>
        </w:rPr>
        <w:t>a change of circumstances) and the overpayment occurred as a result of</w:t>
      </w:r>
      <w:r>
        <w:rPr>
          <w:rFonts w:eastAsia="Times New Roman" w:cs="Arial"/>
          <w:bCs/>
          <w:szCs w:val="24"/>
          <w:lang w:eastAsia="en-GB"/>
        </w:rPr>
        <w:t xml:space="preserve"> </w:t>
      </w:r>
      <w:r w:rsidRPr="00E272D1">
        <w:rPr>
          <w:rFonts w:eastAsia="Times New Roman" w:cs="Arial"/>
          <w:bCs/>
          <w:szCs w:val="24"/>
          <w:lang w:eastAsia="en-GB"/>
        </w:rPr>
        <w:t xml:space="preserve">that deliberate failure; </w:t>
      </w:r>
      <w:r>
        <w:rPr>
          <w:rFonts w:eastAsia="Times New Roman" w:cs="Arial"/>
          <w:bCs/>
          <w:szCs w:val="24"/>
          <w:lang w:eastAsia="en-GB"/>
        </w:rPr>
        <w:t xml:space="preserve"> a</w:t>
      </w:r>
      <w:r w:rsidRPr="00E272D1">
        <w:rPr>
          <w:rFonts w:eastAsia="Times New Roman" w:cs="Arial"/>
          <w:bCs/>
          <w:szCs w:val="24"/>
          <w:lang w:eastAsia="en-GB"/>
        </w:rPr>
        <w:t>nd</w:t>
      </w:r>
    </w:p>
    <w:p w:rsidR="00304D1A" w:rsidRDefault="00304D1A" w:rsidP="00304D1A">
      <w:pPr>
        <w:ind w:left="426"/>
        <w:rPr>
          <w:rFonts w:eastAsia="Times New Roman" w:cs="Arial"/>
          <w:bCs/>
          <w:szCs w:val="24"/>
          <w:lang w:eastAsia="en-GB"/>
        </w:rPr>
      </w:pPr>
      <w:r w:rsidRPr="00E272D1">
        <w:rPr>
          <w:rFonts w:eastAsia="Times New Roman" w:cs="Arial"/>
          <w:bCs/>
          <w:szCs w:val="24"/>
          <w:lang w:eastAsia="en-GB"/>
        </w:rPr>
        <w:t xml:space="preserve">(d) </w:t>
      </w:r>
      <w:proofErr w:type="gramStart"/>
      <w:r w:rsidRPr="00E272D1">
        <w:rPr>
          <w:rFonts w:eastAsia="Times New Roman" w:cs="Arial"/>
          <w:bCs/>
          <w:szCs w:val="24"/>
          <w:lang w:eastAsia="en-GB"/>
        </w:rPr>
        <w:t>the</w:t>
      </w:r>
      <w:proofErr w:type="gramEnd"/>
      <w:r w:rsidRPr="00E272D1">
        <w:rPr>
          <w:rFonts w:eastAsia="Times New Roman" w:cs="Arial"/>
          <w:bCs/>
          <w:szCs w:val="24"/>
          <w:lang w:eastAsia="en-GB"/>
        </w:rPr>
        <w:t xml:space="preserve"> relevant authority is satisfied that the landlord–</w:t>
      </w:r>
      <w:r>
        <w:rPr>
          <w:rFonts w:eastAsia="Times New Roman" w:cs="Arial"/>
          <w:bCs/>
          <w:szCs w:val="24"/>
          <w:lang w:eastAsia="en-GB"/>
        </w:rPr>
        <w:t xml:space="preserve"> </w:t>
      </w:r>
    </w:p>
    <w:p w:rsidR="00304D1A" w:rsidRDefault="00304D1A" w:rsidP="00304D1A">
      <w:pPr>
        <w:ind w:left="851"/>
        <w:rPr>
          <w:rFonts w:eastAsia="Times New Roman" w:cs="Arial"/>
          <w:bCs/>
          <w:szCs w:val="24"/>
          <w:lang w:eastAsia="en-GB"/>
        </w:rPr>
      </w:pPr>
      <w:r w:rsidRPr="00E272D1">
        <w:rPr>
          <w:rFonts w:eastAsia="Times New Roman" w:cs="Arial"/>
          <w:bCs/>
          <w:szCs w:val="24"/>
          <w:lang w:eastAsia="en-GB"/>
        </w:rPr>
        <w:t>(</w:t>
      </w:r>
      <w:proofErr w:type="spellStart"/>
      <w:r w:rsidRPr="00E272D1">
        <w:rPr>
          <w:rFonts w:eastAsia="Times New Roman" w:cs="Arial"/>
          <w:bCs/>
          <w:szCs w:val="24"/>
          <w:lang w:eastAsia="en-GB"/>
        </w:rPr>
        <w:t>i</w:t>
      </w:r>
      <w:proofErr w:type="spellEnd"/>
      <w:r w:rsidRPr="00E272D1">
        <w:rPr>
          <w:rFonts w:eastAsia="Times New Roman" w:cs="Arial"/>
          <w:bCs/>
          <w:szCs w:val="24"/>
          <w:lang w:eastAsia="en-GB"/>
        </w:rPr>
        <w:t xml:space="preserve">) </w:t>
      </w:r>
      <w:proofErr w:type="gramStart"/>
      <w:r w:rsidRPr="00E272D1">
        <w:rPr>
          <w:rFonts w:eastAsia="Times New Roman" w:cs="Arial"/>
          <w:bCs/>
          <w:szCs w:val="24"/>
          <w:lang w:eastAsia="en-GB"/>
        </w:rPr>
        <w:t>has</w:t>
      </w:r>
      <w:proofErr w:type="gramEnd"/>
      <w:r w:rsidRPr="00E272D1">
        <w:rPr>
          <w:rFonts w:eastAsia="Times New Roman" w:cs="Arial"/>
          <w:bCs/>
          <w:szCs w:val="24"/>
          <w:lang w:eastAsia="en-GB"/>
        </w:rPr>
        <w:t xml:space="preserve"> not colluded with the claimant so as to cause the overpayment;</w:t>
      </w:r>
      <w:r>
        <w:rPr>
          <w:rFonts w:eastAsia="Times New Roman" w:cs="Arial"/>
          <w:bCs/>
          <w:szCs w:val="24"/>
          <w:lang w:eastAsia="en-GB"/>
        </w:rPr>
        <w:t xml:space="preserve"> </w:t>
      </w:r>
    </w:p>
    <w:p w:rsidR="00304D1A" w:rsidRDefault="00304D1A" w:rsidP="00304D1A">
      <w:pPr>
        <w:ind w:left="851"/>
        <w:rPr>
          <w:rFonts w:eastAsia="Times New Roman" w:cs="Arial"/>
          <w:bCs/>
          <w:szCs w:val="24"/>
          <w:lang w:eastAsia="en-GB"/>
        </w:rPr>
      </w:pPr>
      <w:r w:rsidRPr="00E272D1">
        <w:rPr>
          <w:rFonts w:eastAsia="Times New Roman" w:cs="Arial"/>
          <w:bCs/>
          <w:szCs w:val="24"/>
          <w:lang w:eastAsia="en-GB"/>
        </w:rPr>
        <w:t xml:space="preserve">(ii) </w:t>
      </w:r>
      <w:proofErr w:type="gramStart"/>
      <w:r w:rsidRPr="00E272D1">
        <w:rPr>
          <w:rFonts w:eastAsia="Times New Roman" w:cs="Arial"/>
          <w:bCs/>
          <w:szCs w:val="24"/>
          <w:lang w:eastAsia="en-GB"/>
        </w:rPr>
        <w:t>has</w:t>
      </w:r>
      <w:proofErr w:type="gramEnd"/>
      <w:r w:rsidRPr="00E272D1">
        <w:rPr>
          <w:rFonts w:eastAsia="Times New Roman" w:cs="Arial"/>
          <w:bCs/>
          <w:szCs w:val="24"/>
          <w:lang w:eastAsia="en-GB"/>
        </w:rPr>
        <w:t xml:space="preserve"> not acted, or neglected to act, in such a way so as to contribute to the</w:t>
      </w:r>
      <w:r>
        <w:rPr>
          <w:rFonts w:eastAsia="Times New Roman" w:cs="Arial"/>
          <w:bCs/>
          <w:szCs w:val="24"/>
          <w:lang w:eastAsia="en-GB"/>
        </w:rPr>
        <w:t xml:space="preserve"> </w:t>
      </w:r>
      <w:r w:rsidRPr="00E272D1">
        <w:rPr>
          <w:rFonts w:eastAsia="Times New Roman" w:cs="Arial"/>
          <w:bCs/>
          <w:szCs w:val="24"/>
          <w:lang w:eastAsia="en-GB"/>
        </w:rPr>
        <w:t>period, or the amount, of the overpayment.</w:t>
      </w:r>
      <w:r>
        <w:rPr>
          <w:rFonts w:eastAsia="Times New Roman" w:cs="Arial"/>
          <w:bCs/>
          <w:szCs w:val="24"/>
          <w:lang w:eastAsia="en-GB"/>
        </w:rPr>
        <w:t xml:space="preserve"> </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E272D1">
        <w:rPr>
          <w:rFonts w:eastAsia="Times New Roman" w:cs="Arial"/>
          <w:bCs/>
          <w:szCs w:val="24"/>
          <w:lang w:eastAsia="en-GB"/>
        </w:rPr>
        <w:t>(2) For the purposes of section 75(3</w:t>
      </w:r>
      <w:proofErr w:type="gramStart"/>
      <w:r w:rsidRPr="00E272D1">
        <w:rPr>
          <w:rFonts w:eastAsia="Times New Roman" w:cs="Arial"/>
          <w:bCs/>
          <w:szCs w:val="24"/>
          <w:lang w:eastAsia="en-GB"/>
        </w:rPr>
        <w:t>)(</w:t>
      </w:r>
      <w:proofErr w:type="gramEnd"/>
      <w:r w:rsidRPr="00E272D1">
        <w:rPr>
          <w:rFonts w:eastAsia="Times New Roman" w:cs="Arial"/>
          <w:bCs/>
          <w:szCs w:val="24"/>
          <w:lang w:eastAsia="en-GB"/>
        </w:rPr>
        <w:t>b) of the Administration Act (recovery from</w:t>
      </w:r>
      <w:r>
        <w:rPr>
          <w:rFonts w:eastAsia="Times New Roman" w:cs="Arial"/>
          <w:bCs/>
          <w:szCs w:val="24"/>
          <w:lang w:eastAsia="en-GB"/>
        </w:rPr>
        <w:t xml:space="preserve"> </w:t>
      </w:r>
      <w:r w:rsidRPr="00E272D1">
        <w:rPr>
          <w:rFonts w:eastAsia="Times New Roman" w:cs="Arial"/>
          <w:bCs/>
          <w:szCs w:val="24"/>
          <w:lang w:eastAsia="en-GB"/>
        </w:rPr>
        <w:t>such other person, as well as or instead of the person to whom the overpayment was</w:t>
      </w:r>
      <w:r>
        <w:rPr>
          <w:rFonts w:eastAsia="Times New Roman" w:cs="Arial"/>
          <w:bCs/>
          <w:szCs w:val="24"/>
          <w:lang w:eastAsia="en-GB"/>
        </w:rPr>
        <w:t xml:space="preserve"> </w:t>
      </w:r>
      <w:r w:rsidRPr="00E272D1">
        <w:rPr>
          <w:rFonts w:eastAsia="Times New Roman" w:cs="Arial"/>
          <w:bCs/>
          <w:szCs w:val="24"/>
          <w:lang w:eastAsia="en-GB"/>
        </w:rPr>
        <w:t>made), where recovery of an overpayment is sought by a relevant authority–</w:t>
      </w:r>
    </w:p>
    <w:p w:rsidR="00304D1A" w:rsidRDefault="00304D1A" w:rsidP="00304D1A">
      <w:pPr>
        <w:rPr>
          <w:rFonts w:eastAsia="Times New Roman" w:cs="Arial"/>
          <w:bCs/>
          <w:szCs w:val="24"/>
          <w:lang w:eastAsia="en-GB"/>
        </w:rPr>
      </w:pPr>
    </w:p>
    <w:p w:rsidR="00304D1A" w:rsidRDefault="00304D1A" w:rsidP="00304D1A">
      <w:pPr>
        <w:ind w:left="426"/>
        <w:rPr>
          <w:rFonts w:eastAsia="Times New Roman" w:cs="Arial"/>
          <w:bCs/>
          <w:szCs w:val="24"/>
          <w:lang w:eastAsia="en-GB"/>
        </w:rPr>
      </w:pPr>
      <w:r w:rsidRPr="00E272D1">
        <w:rPr>
          <w:rFonts w:eastAsia="Times New Roman" w:cs="Arial"/>
          <w:bCs/>
          <w:szCs w:val="24"/>
          <w:lang w:eastAsia="en-GB"/>
        </w:rPr>
        <w:t>(</w:t>
      </w:r>
      <w:proofErr w:type="gramStart"/>
      <w:r w:rsidRPr="00E272D1">
        <w:rPr>
          <w:rFonts w:eastAsia="Times New Roman" w:cs="Arial"/>
          <w:bCs/>
          <w:szCs w:val="24"/>
          <w:lang w:eastAsia="en-GB"/>
        </w:rPr>
        <w:t>a</w:t>
      </w:r>
      <w:proofErr w:type="gramEnd"/>
      <w:r w:rsidRPr="00E272D1">
        <w:rPr>
          <w:rFonts w:eastAsia="Times New Roman" w:cs="Arial"/>
          <w:bCs/>
          <w:szCs w:val="24"/>
          <w:lang w:eastAsia="en-GB"/>
        </w:rPr>
        <w:t>) subject to paragraph (1) and where sub-paragraph (b) or (c) does not apply,</w:t>
      </w:r>
      <w:r>
        <w:rPr>
          <w:rFonts w:eastAsia="Times New Roman" w:cs="Arial"/>
          <w:bCs/>
          <w:szCs w:val="24"/>
          <w:lang w:eastAsia="en-GB"/>
        </w:rPr>
        <w:t xml:space="preserve"> </w:t>
      </w:r>
      <w:r w:rsidRPr="00E272D1">
        <w:rPr>
          <w:rFonts w:eastAsia="Times New Roman" w:cs="Arial"/>
          <w:bCs/>
          <w:szCs w:val="24"/>
          <w:lang w:eastAsia="en-GB"/>
        </w:rPr>
        <w:t>the overpayment is recoverable from the claimant as well as the person to</w:t>
      </w:r>
      <w:r>
        <w:rPr>
          <w:rFonts w:eastAsia="Times New Roman" w:cs="Arial"/>
          <w:bCs/>
          <w:szCs w:val="24"/>
          <w:lang w:eastAsia="en-GB"/>
        </w:rPr>
        <w:t xml:space="preserve"> </w:t>
      </w:r>
      <w:r w:rsidRPr="00E272D1">
        <w:rPr>
          <w:rFonts w:eastAsia="Times New Roman" w:cs="Arial"/>
          <w:bCs/>
          <w:szCs w:val="24"/>
          <w:lang w:eastAsia="en-GB"/>
        </w:rPr>
        <w:t>whom the payment was made, if different;</w:t>
      </w:r>
      <w:r>
        <w:rPr>
          <w:rFonts w:eastAsia="Times New Roman" w:cs="Arial"/>
          <w:bCs/>
          <w:szCs w:val="24"/>
          <w:lang w:eastAsia="en-GB"/>
        </w:rPr>
        <w:t xml:space="preserve"> </w:t>
      </w:r>
    </w:p>
    <w:p w:rsidR="00304D1A" w:rsidRDefault="00304D1A" w:rsidP="00304D1A">
      <w:pPr>
        <w:ind w:left="426"/>
        <w:rPr>
          <w:rFonts w:eastAsia="Times New Roman" w:cs="Arial"/>
          <w:bCs/>
          <w:szCs w:val="24"/>
          <w:lang w:eastAsia="en-GB"/>
        </w:rPr>
      </w:pPr>
      <w:r w:rsidRPr="00E272D1">
        <w:rPr>
          <w:rFonts w:eastAsia="Times New Roman" w:cs="Arial"/>
          <w:bCs/>
          <w:szCs w:val="24"/>
          <w:lang w:eastAsia="en-GB"/>
        </w:rPr>
        <w:t>(b) in a case where an overpayment arose in consequence of a misrepresentation</w:t>
      </w:r>
      <w:r>
        <w:rPr>
          <w:rFonts w:eastAsia="Times New Roman" w:cs="Arial"/>
          <w:bCs/>
          <w:szCs w:val="24"/>
          <w:lang w:eastAsia="en-GB"/>
        </w:rPr>
        <w:t xml:space="preserve"> </w:t>
      </w:r>
      <w:r w:rsidRPr="00E272D1">
        <w:rPr>
          <w:rFonts w:eastAsia="Times New Roman" w:cs="Arial"/>
          <w:bCs/>
          <w:szCs w:val="24"/>
          <w:lang w:eastAsia="en-GB"/>
        </w:rPr>
        <w:t>of or a failure to disclose a material fact (in either case, whether fraudulently</w:t>
      </w:r>
      <w:r>
        <w:rPr>
          <w:rFonts w:eastAsia="Times New Roman" w:cs="Arial"/>
          <w:bCs/>
          <w:szCs w:val="24"/>
          <w:lang w:eastAsia="en-GB"/>
        </w:rPr>
        <w:t xml:space="preserve"> </w:t>
      </w:r>
      <w:r w:rsidRPr="00E272D1">
        <w:rPr>
          <w:rFonts w:eastAsia="Times New Roman" w:cs="Arial"/>
          <w:bCs/>
          <w:szCs w:val="24"/>
          <w:lang w:eastAsia="en-GB"/>
        </w:rPr>
        <w:t>or otherwise) by or on behalf of the claimant, or by or on behalf of any person</w:t>
      </w:r>
      <w:r>
        <w:rPr>
          <w:rFonts w:eastAsia="Times New Roman" w:cs="Arial"/>
          <w:bCs/>
          <w:szCs w:val="24"/>
          <w:lang w:eastAsia="en-GB"/>
        </w:rPr>
        <w:t xml:space="preserve"> </w:t>
      </w:r>
      <w:r w:rsidRPr="00E272D1">
        <w:rPr>
          <w:rFonts w:eastAsia="Times New Roman" w:cs="Arial"/>
          <w:bCs/>
          <w:szCs w:val="24"/>
          <w:lang w:eastAsia="en-GB"/>
        </w:rPr>
        <w:t>to whom the payment was made, the overpayment is only recoverable from</w:t>
      </w:r>
      <w:r>
        <w:rPr>
          <w:rFonts w:eastAsia="Times New Roman" w:cs="Arial"/>
          <w:bCs/>
          <w:szCs w:val="24"/>
          <w:lang w:eastAsia="en-GB"/>
        </w:rPr>
        <w:t xml:space="preserve"> </w:t>
      </w:r>
      <w:r w:rsidRPr="00E272D1">
        <w:rPr>
          <w:rFonts w:eastAsia="Times New Roman" w:cs="Arial"/>
          <w:bCs/>
          <w:szCs w:val="24"/>
          <w:lang w:eastAsia="en-GB"/>
        </w:rPr>
        <w:t>any person who misrepresented or failed to disclose that material fact instead</w:t>
      </w:r>
      <w:r>
        <w:rPr>
          <w:rFonts w:eastAsia="Times New Roman" w:cs="Arial"/>
          <w:bCs/>
          <w:szCs w:val="24"/>
          <w:lang w:eastAsia="en-GB"/>
        </w:rPr>
        <w:t xml:space="preserve"> </w:t>
      </w:r>
      <w:r w:rsidRPr="00E272D1">
        <w:rPr>
          <w:rFonts w:eastAsia="Times New Roman" w:cs="Arial"/>
          <w:bCs/>
          <w:szCs w:val="24"/>
          <w:lang w:eastAsia="en-GB"/>
        </w:rPr>
        <w:t>of, if different, the person to whom the payment was made; or</w:t>
      </w:r>
    </w:p>
    <w:p w:rsidR="00304D1A" w:rsidRDefault="00304D1A" w:rsidP="00304D1A">
      <w:pPr>
        <w:ind w:left="426"/>
        <w:rPr>
          <w:rFonts w:eastAsia="Times New Roman" w:cs="Arial"/>
          <w:bCs/>
          <w:szCs w:val="24"/>
          <w:lang w:eastAsia="en-GB"/>
        </w:rPr>
      </w:pPr>
      <w:r w:rsidRPr="00E272D1">
        <w:rPr>
          <w:rFonts w:eastAsia="Times New Roman" w:cs="Arial"/>
          <w:bCs/>
          <w:szCs w:val="24"/>
          <w:lang w:eastAsia="en-GB"/>
        </w:rPr>
        <w:t>(c) in a case where an overpayment arose in consequence of an official error</w:t>
      </w:r>
      <w:r>
        <w:rPr>
          <w:rFonts w:eastAsia="Times New Roman" w:cs="Arial"/>
          <w:bCs/>
          <w:szCs w:val="24"/>
          <w:lang w:eastAsia="en-GB"/>
        </w:rPr>
        <w:t xml:space="preserve"> </w:t>
      </w:r>
      <w:r w:rsidRPr="00E272D1">
        <w:rPr>
          <w:rFonts w:eastAsia="Times New Roman" w:cs="Arial"/>
          <w:bCs/>
          <w:szCs w:val="24"/>
          <w:lang w:eastAsia="en-GB"/>
        </w:rPr>
        <w:t>where the claimant, or a person acting on the claimant's behalf, or any person</w:t>
      </w:r>
      <w:r>
        <w:rPr>
          <w:rFonts w:eastAsia="Times New Roman" w:cs="Arial"/>
          <w:bCs/>
          <w:szCs w:val="24"/>
          <w:lang w:eastAsia="en-GB"/>
        </w:rPr>
        <w:t xml:space="preserve"> </w:t>
      </w:r>
      <w:r w:rsidRPr="00E272D1">
        <w:rPr>
          <w:rFonts w:eastAsia="Times New Roman" w:cs="Arial"/>
          <w:bCs/>
          <w:szCs w:val="24"/>
          <w:lang w:eastAsia="en-GB"/>
        </w:rPr>
        <w:t>to whom the payment was paid, or any person acting on their behalf, could</w:t>
      </w:r>
      <w:r>
        <w:rPr>
          <w:rFonts w:eastAsia="Times New Roman" w:cs="Arial"/>
          <w:bCs/>
          <w:szCs w:val="24"/>
          <w:lang w:eastAsia="en-GB"/>
        </w:rPr>
        <w:t xml:space="preserve"> </w:t>
      </w:r>
      <w:r w:rsidRPr="00E272D1">
        <w:rPr>
          <w:rFonts w:eastAsia="Times New Roman" w:cs="Arial"/>
          <w:bCs/>
          <w:szCs w:val="24"/>
          <w:lang w:eastAsia="en-GB"/>
        </w:rPr>
        <w:t>reasonably have been expected, at the time of receipt of the payment or of</w:t>
      </w:r>
      <w:r>
        <w:rPr>
          <w:rFonts w:eastAsia="Times New Roman" w:cs="Arial"/>
          <w:bCs/>
          <w:szCs w:val="24"/>
          <w:lang w:eastAsia="en-GB"/>
        </w:rPr>
        <w:t xml:space="preserve"> </w:t>
      </w:r>
      <w:r w:rsidRPr="00E272D1">
        <w:rPr>
          <w:rFonts w:eastAsia="Times New Roman" w:cs="Arial"/>
          <w:bCs/>
          <w:szCs w:val="24"/>
          <w:lang w:eastAsia="en-GB"/>
        </w:rPr>
        <w:t>any notice relating to that payment, to realise that it was an overpayment,</w:t>
      </w:r>
      <w:r>
        <w:rPr>
          <w:rFonts w:eastAsia="Times New Roman" w:cs="Arial"/>
          <w:bCs/>
          <w:szCs w:val="24"/>
          <w:lang w:eastAsia="en-GB"/>
        </w:rPr>
        <w:t xml:space="preserve"> </w:t>
      </w:r>
      <w:r w:rsidRPr="00E272D1">
        <w:rPr>
          <w:rFonts w:eastAsia="Times New Roman" w:cs="Arial"/>
          <w:bCs/>
          <w:szCs w:val="24"/>
          <w:lang w:eastAsia="en-GB"/>
        </w:rPr>
        <w:t>the overpayment is only recoverable from any such person instead of, if</w:t>
      </w:r>
      <w:r>
        <w:rPr>
          <w:rFonts w:eastAsia="Times New Roman" w:cs="Arial"/>
          <w:bCs/>
          <w:szCs w:val="24"/>
          <w:lang w:eastAsia="en-GB"/>
        </w:rPr>
        <w:t xml:space="preserve"> </w:t>
      </w:r>
      <w:r w:rsidRPr="00E272D1">
        <w:rPr>
          <w:rFonts w:eastAsia="Times New Roman" w:cs="Arial"/>
          <w:bCs/>
          <w:szCs w:val="24"/>
          <w:lang w:eastAsia="en-GB"/>
        </w:rPr>
        <w:t>different, the person to whom the payment was made.</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E272D1">
        <w:rPr>
          <w:rFonts w:eastAsia="Times New Roman" w:cs="Arial"/>
          <w:bCs/>
          <w:szCs w:val="24"/>
          <w:lang w:eastAsia="en-GB"/>
        </w:rPr>
        <w:lastRenderedPageBreak/>
        <w:t>(2A) Where an overpayment is made in a case where a relevant authority has</w:t>
      </w:r>
      <w:r>
        <w:rPr>
          <w:rFonts w:eastAsia="Times New Roman" w:cs="Arial"/>
          <w:bCs/>
          <w:szCs w:val="24"/>
          <w:lang w:eastAsia="en-GB"/>
        </w:rPr>
        <w:t xml:space="preserve"> </w:t>
      </w:r>
      <w:r w:rsidRPr="00E272D1">
        <w:rPr>
          <w:rFonts w:eastAsia="Times New Roman" w:cs="Arial"/>
          <w:bCs/>
          <w:szCs w:val="24"/>
          <w:lang w:eastAsia="en-GB"/>
        </w:rPr>
        <w:t>determined a maximum rent (LHA) in accordance with regulation 13D (determination</w:t>
      </w:r>
      <w:r>
        <w:rPr>
          <w:rFonts w:eastAsia="Times New Roman" w:cs="Arial"/>
          <w:bCs/>
          <w:szCs w:val="24"/>
          <w:lang w:eastAsia="en-GB"/>
        </w:rPr>
        <w:t xml:space="preserve"> </w:t>
      </w:r>
      <w:r w:rsidRPr="00E272D1">
        <w:rPr>
          <w:rFonts w:eastAsia="Times New Roman" w:cs="Arial"/>
          <w:bCs/>
          <w:szCs w:val="24"/>
          <w:lang w:eastAsia="en-GB"/>
        </w:rPr>
        <w:t>of a maximum rent (LHA)), and the housing benefit payable exceeds the amount</w:t>
      </w:r>
      <w:r>
        <w:rPr>
          <w:rFonts w:eastAsia="Times New Roman" w:cs="Arial"/>
          <w:bCs/>
          <w:szCs w:val="24"/>
          <w:lang w:eastAsia="en-GB"/>
        </w:rPr>
        <w:t xml:space="preserve"> </w:t>
      </w:r>
      <w:r w:rsidRPr="00E272D1">
        <w:rPr>
          <w:rFonts w:eastAsia="Times New Roman" w:cs="Arial"/>
          <w:bCs/>
          <w:szCs w:val="24"/>
          <w:lang w:eastAsia="en-GB"/>
        </w:rPr>
        <w:t>which the claimant is liable to pay his landlord by way of rent, the relevant authority</w:t>
      </w:r>
      <w:r>
        <w:rPr>
          <w:rFonts w:eastAsia="Times New Roman" w:cs="Arial"/>
          <w:bCs/>
          <w:szCs w:val="24"/>
          <w:lang w:eastAsia="en-GB"/>
        </w:rPr>
        <w:t xml:space="preserve"> </w:t>
      </w:r>
      <w:r w:rsidRPr="00E272D1">
        <w:rPr>
          <w:rFonts w:eastAsia="Times New Roman" w:cs="Arial"/>
          <w:bCs/>
          <w:szCs w:val="24"/>
          <w:lang w:eastAsia="en-GB"/>
        </w:rPr>
        <w:t>must not recover from the landlord more than the landlord has received.</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E272D1">
        <w:rPr>
          <w:rFonts w:eastAsia="Times New Roman" w:cs="Arial"/>
          <w:bCs/>
          <w:szCs w:val="24"/>
          <w:lang w:eastAsia="en-GB"/>
        </w:rPr>
        <w:t>(3) For the purposes of</w:t>
      </w:r>
      <w:r>
        <w:rPr>
          <w:rFonts w:eastAsia="Times New Roman" w:cs="Arial"/>
          <w:bCs/>
          <w:szCs w:val="24"/>
          <w:lang w:eastAsia="en-GB"/>
        </w:rPr>
        <w:t xml:space="preserve"> </w:t>
      </w:r>
      <w:r w:rsidRPr="00E272D1">
        <w:rPr>
          <w:rFonts w:eastAsia="Times New Roman" w:cs="Arial"/>
          <w:bCs/>
          <w:szCs w:val="24"/>
          <w:lang w:eastAsia="en-GB"/>
        </w:rPr>
        <w:t>paragraph (1) and (2A)</w:t>
      </w:r>
      <w:r>
        <w:rPr>
          <w:rFonts w:eastAsia="Times New Roman" w:cs="Arial"/>
          <w:bCs/>
          <w:szCs w:val="24"/>
          <w:lang w:eastAsia="en-GB"/>
        </w:rPr>
        <w:t>,</w:t>
      </w:r>
      <w:r w:rsidRPr="00E272D1">
        <w:rPr>
          <w:rFonts w:eastAsia="Times New Roman" w:cs="Arial"/>
          <w:bCs/>
          <w:szCs w:val="24"/>
          <w:lang w:eastAsia="en-GB"/>
        </w:rPr>
        <w:t xml:space="preserve"> “landlord” shall have the same</w:t>
      </w:r>
      <w:r>
        <w:rPr>
          <w:rFonts w:eastAsia="Times New Roman" w:cs="Arial"/>
          <w:bCs/>
          <w:szCs w:val="24"/>
          <w:lang w:eastAsia="en-GB"/>
        </w:rPr>
        <w:t xml:space="preserve"> </w:t>
      </w:r>
      <w:r w:rsidRPr="00E272D1">
        <w:rPr>
          <w:rFonts w:eastAsia="Times New Roman" w:cs="Arial"/>
          <w:bCs/>
          <w:szCs w:val="24"/>
          <w:lang w:eastAsia="en-GB"/>
        </w:rPr>
        <w:t>meaning as it has for the purposes of regulation 95.</w:t>
      </w:r>
    </w:p>
    <w:p w:rsidR="00304D1A" w:rsidRDefault="00304D1A" w:rsidP="00304D1A">
      <w:pPr>
        <w:rPr>
          <w:rFonts w:eastAsia="Times New Roman" w:cs="Arial"/>
          <w:bCs/>
          <w:szCs w:val="24"/>
          <w:lang w:eastAsia="en-GB"/>
        </w:rPr>
      </w:pPr>
    </w:p>
    <w:p w:rsidR="00304D1A" w:rsidRPr="00E272D1" w:rsidRDefault="00304D1A" w:rsidP="00304D1A">
      <w:pPr>
        <w:rPr>
          <w:rFonts w:cs="Arial"/>
        </w:rPr>
      </w:pPr>
      <w:r w:rsidRPr="00E272D1">
        <w:rPr>
          <w:rFonts w:eastAsia="Times New Roman" w:cs="Arial"/>
          <w:bCs/>
          <w:szCs w:val="24"/>
          <w:lang w:eastAsia="en-GB"/>
        </w:rPr>
        <w:t>(3A) For the purposes of paragraph (2</w:t>
      </w:r>
      <w:proofErr w:type="gramStart"/>
      <w:r w:rsidRPr="00E272D1">
        <w:rPr>
          <w:rFonts w:eastAsia="Times New Roman" w:cs="Arial"/>
          <w:bCs/>
          <w:szCs w:val="24"/>
          <w:lang w:eastAsia="en-GB"/>
        </w:rPr>
        <w:t>)(</w:t>
      </w:r>
      <w:proofErr w:type="gramEnd"/>
      <w:r w:rsidRPr="00E272D1">
        <w:rPr>
          <w:rFonts w:eastAsia="Times New Roman" w:cs="Arial"/>
          <w:bCs/>
          <w:szCs w:val="24"/>
          <w:lang w:eastAsia="en-GB"/>
        </w:rPr>
        <w:t>c) “overpayment arose in</w:t>
      </w:r>
      <w:r>
        <w:rPr>
          <w:rFonts w:eastAsia="Times New Roman" w:cs="Arial"/>
          <w:bCs/>
          <w:szCs w:val="24"/>
          <w:lang w:eastAsia="en-GB"/>
        </w:rPr>
        <w:t xml:space="preserve"> </w:t>
      </w:r>
      <w:r w:rsidRPr="00E272D1">
        <w:rPr>
          <w:rFonts w:eastAsia="Times New Roman" w:cs="Arial"/>
          <w:bCs/>
          <w:szCs w:val="24"/>
          <w:lang w:eastAsia="en-GB"/>
        </w:rPr>
        <w:t>consequence of an official error” shall have the same meaning as in regulation 100(3)</w:t>
      </w:r>
      <w:r>
        <w:rPr>
          <w:rFonts w:eastAsia="Times New Roman" w:cs="Arial"/>
          <w:bCs/>
          <w:szCs w:val="24"/>
          <w:lang w:eastAsia="en-GB"/>
        </w:rPr>
        <w:t xml:space="preserve"> </w:t>
      </w:r>
      <w:r w:rsidRPr="00E272D1">
        <w:rPr>
          <w:rFonts w:eastAsia="Times New Roman" w:cs="Arial"/>
          <w:bCs/>
          <w:szCs w:val="24"/>
          <w:lang w:eastAsia="en-GB"/>
        </w:rPr>
        <w:t>above.</w:t>
      </w:r>
    </w:p>
    <w:p w:rsidR="00295929" w:rsidRDefault="00295929" w:rsidP="00DE3A21"/>
    <w:p w:rsidR="00295929" w:rsidRDefault="00295929" w:rsidP="00295929">
      <w:pPr>
        <w:jc w:val="center"/>
        <w:rPr>
          <w:b/>
          <w:sz w:val="36"/>
        </w:rPr>
      </w:pPr>
      <w:r>
        <w:rPr>
          <w:b/>
          <w:sz w:val="36"/>
        </w:rPr>
        <w:br w:type="page"/>
      </w:r>
    </w:p>
    <w:p w:rsidR="00295929" w:rsidRDefault="00295929" w:rsidP="00295929">
      <w:pPr>
        <w:jc w:val="center"/>
        <w:rPr>
          <w:b/>
          <w:sz w:val="36"/>
        </w:rPr>
      </w:pPr>
    </w:p>
    <w:p w:rsidR="00295929" w:rsidRDefault="00295929" w:rsidP="00295929">
      <w:pPr>
        <w:jc w:val="center"/>
        <w:rPr>
          <w:b/>
          <w:sz w:val="36"/>
        </w:rPr>
      </w:pPr>
      <w:r>
        <w:rPr>
          <w:b/>
          <w:sz w:val="36"/>
        </w:rPr>
        <w:t>Appendix 1</w:t>
      </w:r>
      <w:r w:rsidR="00F84F19">
        <w:rPr>
          <w:b/>
          <w:sz w:val="36"/>
        </w:rPr>
        <w:t>7</w:t>
      </w:r>
    </w:p>
    <w:p w:rsidR="00295929" w:rsidRDefault="00295929" w:rsidP="00295929">
      <w:pPr>
        <w:jc w:val="center"/>
        <w:rPr>
          <w:b/>
          <w:sz w:val="36"/>
        </w:rPr>
      </w:pPr>
    </w:p>
    <w:p w:rsidR="00295929" w:rsidRDefault="00304D1A" w:rsidP="00295929">
      <w:pPr>
        <w:jc w:val="center"/>
        <w:rPr>
          <w:b/>
          <w:sz w:val="36"/>
        </w:rPr>
      </w:pPr>
      <w:r>
        <w:rPr>
          <w:b/>
          <w:sz w:val="36"/>
        </w:rPr>
        <w:t>Extract from</w:t>
      </w:r>
      <w:r w:rsidR="00295929">
        <w:rPr>
          <w:b/>
          <w:sz w:val="36"/>
        </w:rPr>
        <w:t xml:space="preserve"> decision </w:t>
      </w:r>
      <w:proofErr w:type="gramStart"/>
      <w:r w:rsidR="00295929">
        <w:rPr>
          <w:b/>
          <w:sz w:val="36"/>
        </w:rPr>
        <w:t>R(</w:t>
      </w:r>
      <w:proofErr w:type="gramEnd"/>
      <w:r w:rsidR="00295929">
        <w:rPr>
          <w:b/>
          <w:sz w:val="36"/>
        </w:rPr>
        <w:t>H) 6/0</w:t>
      </w:r>
      <w:r>
        <w:rPr>
          <w:b/>
          <w:sz w:val="36"/>
        </w:rPr>
        <w:t>6</w:t>
      </w:r>
    </w:p>
    <w:p w:rsidR="00304D1A" w:rsidRPr="007E0BDB" w:rsidRDefault="00295929" w:rsidP="00304D1A">
      <w:pPr>
        <w:rPr>
          <w:rFonts w:eastAsia="Times New Roman" w:cs="Arial"/>
          <w:bCs/>
          <w:szCs w:val="24"/>
          <w:lang w:eastAsia="en-GB"/>
        </w:rPr>
      </w:pPr>
      <w:r>
        <w:rPr>
          <w:b/>
          <w:sz w:val="36"/>
        </w:rPr>
        <w:br w:type="page"/>
      </w:r>
      <w:r w:rsidR="00304D1A" w:rsidRPr="007E0BDB">
        <w:rPr>
          <w:rFonts w:eastAsia="Times New Roman" w:cs="Arial"/>
          <w:bCs/>
          <w:szCs w:val="24"/>
          <w:lang w:eastAsia="en-GB"/>
        </w:rPr>
        <w:lastRenderedPageBreak/>
        <w:t>45. The words in parenthesis in section 75(3</w:t>
      </w:r>
      <w:proofErr w:type="gramStart"/>
      <w:r w:rsidR="00304D1A" w:rsidRPr="007E0BDB">
        <w:rPr>
          <w:rFonts w:eastAsia="Times New Roman" w:cs="Arial"/>
          <w:bCs/>
          <w:szCs w:val="24"/>
          <w:lang w:eastAsia="en-GB"/>
        </w:rPr>
        <w:t>)(</w:t>
      </w:r>
      <w:proofErr w:type="gramEnd"/>
      <w:r w:rsidR="00304D1A" w:rsidRPr="007E0BDB">
        <w:rPr>
          <w:rFonts w:eastAsia="Times New Roman" w:cs="Arial"/>
          <w:bCs/>
          <w:szCs w:val="24"/>
          <w:lang w:eastAsia="en-GB"/>
        </w:rPr>
        <w:t>b) are ambiguous in their effect.</w:t>
      </w:r>
      <w:r w:rsidR="00304D1A">
        <w:rPr>
          <w:rFonts w:eastAsia="Times New Roman" w:cs="Arial"/>
          <w:bCs/>
          <w:szCs w:val="24"/>
          <w:lang w:eastAsia="en-GB"/>
        </w:rPr>
        <w:t xml:space="preserve"> </w:t>
      </w:r>
      <w:r w:rsidR="00304D1A" w:rsidRPr="007E0BDB">
        <w:rPr>
          <w:rFonts w:eastAsia="Times New Roman" w:cs="Arial"/>
          <w:bCs/>
          <w:szCs w:val="24"/>
          <w:lang w:eastAsia="en-GB"/>
        </w:rPr>
        <w:t>Three possible constructions were considered in argument. First, they might be</w:t>
      </w:r>
      <w:r w:rsidR="00304D1A">
        <w:rPr>
          <w:rFonts w:eastAsia="Times New Roman" w:cs="Arial"/>
          <w:bCs/>
          <w:szCs w:val="24"/>
          <w:lang w:eastAsia="en-GB"/>
        </w:rPr>
        <w:t xml:space="preserve"> </w:t>
      </w:r>
      <w:r w:rsidR="00304D1A" w:rsidRPr="007E0BDB">
        <w:rPr>
          <w:rFonts w:eastAsia="Times New Roman" w:cs="Arial"/>
          <w:bCs/>
          <w:szCs w:val="24"/>
          <w:lang w:eastAsia="en-GB"/>
        </w:rPr>
        <w:t>construed as enabling regulations to be made that leave to the local authority in every</w:t>
      </w:r>
      <w:r w:rsidR="00304D1A">
        <w:rPr>
          <w:rFonts w:eastAsia="Times New Roman" w:cs="Arial"/>
          <w:bCs/>
          <w:szCs w:val="24"/>
          <w:lang w:eastAsia="en-GB"/>
        </w:rPr>
        <w:t xml:space="preserve"> </w:t>
      </w:r>
      <w:r w:rsidR="00304D1A" w:rsidRPr="007E0BDB">
        <w:rPr>
          <w:rFonts w:eastAsia="Times New Roman" w:cs="Arial"/>
          <w:bCs/>
          <w:szCs w:val="24"/>
          <w:lang w:eastAsia="en-GB"/>
        </w:rPr>
        <w:t xml:space="preserve">case the </w:t>
      </w:r>
      <w:r w:rsidR="00304D1A">
        <w:rPr>
          <w:rFonts w:eastAsia="Times New Roman" w:cs="Arial"/>
          <w:bCs/>
          <w:szCs w:val="24"/>
          <w:lang w:eastAsia="en-GB"/>
        </w:rPr>
        <w:t xml:space="preserve"> q</w:t>
      </w:r>
      <w:r w:rsidR="00304D1A" w:rsidRPr="007E0BDB">
        <w:rPr>
          <w:rFonts w:eastAsia="Times New Roman" w:cs="Arial"/>
          <w:bCs/>
          <w:szCs w:val="24"/>
          <w:lang w:eastAsia="en-GB"/>
        </w:rPr>
        <w:t>uestion whether an overpayment is recoverable from a prescribed person as</w:t>
      </w:r>
      <w:r w:rsidR="00304D1A">
        <w:rPr>
          <w:rFonts w:eastAsia="Times New Roman" w:cs="Arial"/>
          <w:bCs/>
          <w:szCs w:val="24"/>
          <w:lang w:eastAsia="en-GB"/>
        </w:rPr>
        <w:t xml:space="preserve"> </w:t>
      </w:r>
      <w:r w:rsidR="00304D1A" w:rsidRPr="007E0BDB">
        <w:rPr>
          <w:rFonts w:eastAsia="Times New Roman" w:cs="Arial"/>
          <w:bCs/>
          <w:szCs w:val="24"/>
          <w:lang w:eastAsia="en-GB"/>
        </w:rPr>
        <w:t xml:space="preserve">well </w:t>
      </w:r>
      <w:r w:rsidR="00304D1A">
        <w:rPr>
          <w:rFonts w:eastAsia="Times New Roman" w:cs="Arial"/>
          <w:bCs/>
          <w:szCs w:val="24"/>
          <w:lang w:eastAsia="en-GB"/>
        </w:rPr>
        <w:t xml:space="preserve"> a</w:t>
      </w:r>
      <w:r w:rsidR="00304D1A" w:rsidRPr="007E0BDB">
        <w:rPr>
          <w:rFonts w:eastAsia="Times New Roman" w:cs="Arial"/>
          <w:bCs/>
          <w:szCs w:val="24"/>
          <w:lang w:eastAsia="en-GB"/>
        </w:rPr>
        <w:t>s, or instead of, the person to whom it was paid. Secondly, they might be</w:t>
      </w:r>
      <w:r w:rsidR="00304D1A">
        <w:rPr>
          <w:rFonts w:eastAsia="Times New Roman" w:cs="Arial"/>
          <w:bCs/>
          <w:szCs w:val="24"/>
          <w:lang w:eastAsia="en-GB"/>
        </w:rPr>
        <w:t xml:space="preserve"> </w:t>
      </w:r>
      <w:proofErr w:type="gramStart"/>
      <w:r w:rsidR="00304D1A" w:rsidRPr="007E0BDB">
        <w:rPr>
          <w:rFonts w:eastAsia="Times New Roman" w:cs="Arial"/>
          <w:bCs/>
          <w:szCs w:val="24"/>
          <w:lang w:eastAsia="en-GB"/>
        </w:rPr>
        <w:t xml:space="preserve">construed </w:t>
      </w:r>
      <w:r w:rsidR="00304D1A">
        <w:rPr>
          <w:rFonts w:eastAsia="Times New Roman" w:cs="Arial"/>
          <w:bCs/>
          <w:szCs w:val="24"/>
          <w:lang w:eastAsia="en-GB"/>
        </w:rPr>
        <w:t xml:space="preserve"> a</w:t>
      </w:r>
      <w:r w:rsidR="00304D1A" w:rsidRPr="007E0BDB">
        <w:rPr>
          <w:rFonts w:eastAsia="Times New Roman" w:cs="Arial"/>
          <w:bCs/>
          <w:szCs w:val="24"/>
          <w:lang w:eastAsia="en-GB"/>
        </w:rPr>
        <w:t>s</w:t>
      </w:r>
      <w:proofErr w:type="gramEnd"/>
      <w:r w:rsidR="00304D1A" w:rsidRPr="007E0BDB">
        <w:rPr>
          <w:rFonts w:eastAsia="Times New Roman" w:cs="Arial"/>
          <w:bCs/>
          <w:szCs w:val="24"/>
          <w:lang w:eastAsia="en-GB"/>
        </w:rPr>
        <w:t xml:space="preserve"> enabling regulations to be made that have the effect that an</w:t>
      </w:r>
      <w:r w:rsidR="00304D1A">
        <w:rPr>
          <w:rFonts w:eastAsia="Times New Roman" w:cs="Arial"/>
          <w:bCs/>
          <w:szCs w:val="24"/>
          <w:lang w:eastAsia="en-GB"/>
        </w:rPr>
        <w:t xml:space="preserve"> </w:t>
      </w:r>
      <w:r w:rsidR="00304D1A" w:rsidRPr="007E0BDB">
        <w:rPr>
          <w:rFonts w:eastAsia="Times New Roman" w:cs="Arial"/>
          <w:bCs/>
          <w:szCs w:val="24"/>
          <w:lang w:eastAsia="en-GB"/>
        </w:rPr>
        <w:t>overpayment is always recoverable from a prescribed person as well as the person to</w:t>
      </w:r>
      <w:r w:rsidR="00304D1A">
        <w:rPr>
          <w:rFonts w:eastAsia="Times New Roman" w:cs="Arial"/>
          <w:bCs/>
          <w:szCs w:val="24"/>
          <w:lang w:eastAsia="en-GB"/>
        </w:rPr>
        <w:t xml:space="preserve"> </w:t>
      </w:r>
      <w:r w:rsidR="00304D1A" w:rsidRPr="007E0BDB">
        <w:rPr>
          <w:rFonts w:eastAsia="Times New Roman" w:cs="Arial"/>
          <w:bCs/>
          <w:szCs w:val="24"/>
          <w:lang w:eastAsia="en-GB"/>
        </w:rPr>
        <w:t xml:space="preserve">whom it was </w:t>
      </w:r>
      <w:r w:rsidR="00304D1A">
        <w:rPr>
          <w:rFonts w:eastAsia="Times New Roman" w:cs="Arial"/>
          <w:bCs/>
          <w:szCs w:val="24"/>
          <w:lang w:eastAsia="en-GB"/>
        </w:rPr>
        <w:t xml:space="preserve"> m</w:t>
      </w:r>
      <w:r w:rsidR="00304D1A" w:rsidRPr="007E0BDB">
        <w:rPr>
          <w:rFonts w:eastAsia="Times New Roman" w:cs="Arial"/>
          <w:bCs/>
          <w:szCs w:val="24"/>
          <w:lang w:eastAsia="en-GB"/>
        </w:rPr>
        <w:t>ade, except where regulations under section 75(3)(a) have the effect</w:t>
      </w:r>
      <w:r w:rsidR="00304D1A">
        <w:rPr>
          <w:rFonts w:eastAsia="Times New Roman" w:cs="Arial"/>
          <w:bCs/>
          <w:szCs w:val="24"/>
          <w:lang w:eastAsia="en-GB"/>
        </w:rPr>
        <w:t xml:space="preserve"> </w:t>
      </w:r>
      <w:r w:rsidR="00304D1A" w:rsidRPr="007E0BDB">
        <w:rPr>
          <w:rFonts w:eastAsia="Times New Roman" w:cs="Arial"/>
          <w:bCs/>
          <w:szCs w:val="24"/>
          <w:lang w:eastAsia="en-GB"/>
        </w:rPr>
        <w:t xml:space="preserve">that it is not </w:t>
      </w:r>
      <w:r w:rsidR="00304D1A">
        <w:rPr>
          <w:rFonts w:eastAsia="Times New Roman" w:cs="Arial"/>
          <w:bCs/>
          <w:szCs w:val="24"/>
          <w:lang w:eastAsia="en-GB"/>
        </w:rPr>
        <w:t xml:space="preserve"> r</w:t>
      </w:r>
      <w:r w:rsidR="00304D1A" w:rsidRPr="007E0BDB">
        <w:rPr>
          <w:rFonts w:eastAsia="Times New Roman" w:cs="Arial"/>
          <w:bCs/>
          <w:szCs w:val="24"/>
          <w:lang w:eastAsia="en-GB"/>
        </w:rPr>
        <w:t>ecoverable from the person to whom it was made in which case it</w:t>
      </w:r>
      <w:r w:rsidR="00304D1A">
        <w:rPr>
          <w:rFonts w:eastAsia="Times New Roman" w:cs="Arial"/>
          <w:bCs/>
          <w:szCs w:val="24"/>
          <w:lang w:eastAsia="en-GB"/>
        </w:rPr>
        <w:t xml:space="preserve"> </w:t>
      </w:r>
      <w:r w:rsidR="00304D1A" w:rsidRPr="007E0BDB">
        <w:rPr>
          <w:rFonts w:eastAsia="Times New Roman" w:cs="Arial"/>
          <w:bCs/>
          <w:szCs w:val="24"/>
          <w:lang w:eastAsia="en-GB"/>
        </w:rPr>
        <w:t>would be recoverable from the prescribed person instead of that person. Thirdly, they</w:t>
      </w:r>
      <w:r w:rsidR="00304D1A">
        <w:rPr>
          <w:rFonts w:eastAsia="Times New Roman" w:cs="Arial"/>
          <w:bCs/>
          <w:szCs w:val="24"/>
          <w:lang w:eastAsia="en-GB"/>
        </w:rPr>
        <w:t xml:space="preserve"> </w:t>
      </w:r>
      <w:r w:rsidR="00304D1A" w:rsidRPr="007E0BDB">
        <w:rPr>
          <w:rFonts w:eastAsia="Times New Roman" w:cs="Arial"/>
          <w:bCs/>
          <w:szCs w:val="24"/>
          <w:lang w:eastAsia="en-GB"/>
        </w:rPr>
        <w:t>might be construed as enabling regulations to be made that themselves specify</w:t>
      </w:r>
      <w:r w:rsidR="00304D1A">
        <w:rPr>
          <w:rFonts w:eastAsia="Times New Roman" w:cs="Arial"/>
          <w:bCs/>
          <w:szCs w:val="24"/>
          <w:lang w:eastAsia="en-GB"/>
        </w:rPr>
        <w:t xml:space="preserve"> </w:t>
      </w:r>
      <w:r w:rsidR="00304D1A" w:rsidRPr="007E0BDB">
        <w:rPr>
          <w:rFonts w:eastAsia="Times New Roman" w:cs="Arial"/>
          <w:bCs/>
          <w:szCs w:val="24"/>
          <w:lang w:eastAsia="en-GB"/>
        </w:rPr>
        <w:t>whether an overpayment is recoverable from the prescribed person as well as the</w:t>
      </w:r>
      <w:r w:rsidR="00304D1A">
        <w:rPr>
          <w:rFonts w:eastAsia="Times New Roman" w:cs="Arial"/>
          <w:bCs/>
          <w:szCs w:val="24"/>
          <w:lang w:eastAsia="en-GB"/>
        </w:rPr>
        <w:t xml:space="preserve"> </w:t>
      </w:r>
      <w:r w:rsidR="00304D1A" w:rsidRPr="007E0BDB">
        <w:rPr>
          <w:rFonts w:eastAsia="Times New Roman" w:cs="Arial"/>
          <w:bCs/>
          <w:szCs w:val="24"/>
          <w:lang w:eastAsia="en-GB"/>
        </w:rPr>
        <w:t>person to whom it was made or is recoverable from the prescribed person instead of</w:t>
      </w:r>
      <w:r w:rsidR="00304D1A">
        <w:rPr>
          <w:rFonts w:eastAsia="Times New Roman" w:cs="Arial"/>
          <w:bCs/>
          <w:szCs w:val="24"/>
          <w:lang w:eastAsia="en-GB"/>
        </w:rPr>
        <w:t xml:space="preserve"> </w:t>
      </w:r>
      <w:r w:rsidR="00304D1A" w:rsidRPr="007E0BDB">
        <w:rPr>
          <w:rFonts w:eastAsia="Times New Roman" w:cs="Arial"/>
          <w:bCs/>
          <w:szCs w:val="24"/>
          <w:lang w:eastAsia="en-GB"/>
        </w:rPr>
        <w:t>the person to whom it was made.</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7E0BDB">
        <w:rPr>
          <w:rFonts w:eastAsia="Times New Roman" w:cs="Arial"/>
          <w:bCs/>
          <w:szCs w:val="24"/>
          <w:lang w:eastAsia="en-GB"/>
        </w:rPr>
        <w:t xml:space="preserve">46. The first of those constructions was the one advanced by both Mr </w:t>
      </w:r>
      <w:proofErr w:type="spellStart"/>
      <w:r w:rsidRPr="007E0BDB">
        <w:rPr>
          <w:rFonts w:eastAsia="Times New Roman" w:cs="Arial"/>
          <w:bCs/>
          <w:szCs w:val="24"/>
          <w:lang w:eastAsia="en-GB"/>
        </w:rPr>
        <w:t>Kovats</w:t>
      </w:r>
      <w:proofErr w:type="spellEnd"/>
      <w:r w:rsidRPr="007E0BDB">
        <w:rPr>
          <w:rFonts w:eastAsia="Times New Roman" w:cs="Arial"/>
          <w:bCs/>
          <w:szCs w:val="24"/>
          <w:lang w:eastAsia="en-GB"/>
        </w:rPr>
        <w:t xml:space="preserve"> and</w:t>
      </w:r>
      <w:r>
        <w:rPr>
          <w:rFonts w:eastAsia="Times New Roman" w:cs="Arial"/>
          <w:bCs/>
          <w:szCs w:val="24"/>
          <w:lang w:eastAsia="en-GB"/>
        </w:rPr>
        <w:t xml:space="preserve"> </w:t>
      </w:r>
      <w:r w:rsidRPr="007E0BDB">
        <w:rPr>
          <w:rFonts w:eastAsia="Times New Roman" w:cs="Arial"/>
          <w:bCs/>
          <w:szCs w:val="24"/>
          <w:lang w:eastAsia="en-GB"/>
        </w:rPr>
        <w:t xml:space="preserve">Mr </w:t>
      </w:r>
      <w:proofErr w:type="spellStart"/>
      <w:r w:rsidRPr="007E0BDB">
        <w:rPr>
          <w:rFonts w:eastAsia="Times New Roman" w:cs="Arial"/>
          <w:bCs/>
          <w:szCs w:val="24"/>
          <w:lang w:eastAsia="en-GB"/>
        </w:rPr>
        <w:t>Maurici</w:t>
      </w:r>
      <w:proofErr w:type="spellEnd"/>
      <w:r w:rsidRPr="007E0BDB">
        <w:rPr>
          <w:rFonts w:eastAsia="Times New Roman" w:cs="Arial"/>
          <w:bCs/>
          <w:szCs w:val="24"/>
          <w:lang w:eastAsia="en-GB"/>
        </w:rPr>
        <w:t xml:space="preserve"> as being the most obvious implication of the words in parenthesis.</w:t>
      </w:r>
      <w:r>
        <w:rPr>
          <w:rFonts w:eastAsia="Times New Roman" w:cs="Arial"/>
          <w:bCs/>
          <w:szCs w:val="24"/>
          <w:lang w:eastAsia="en-GB"/>
        </w:rPr>
        <w:t xml:space="preserve"> </w:t>
      </w:r>
      <w:r w:rsidRPr="007E0BDB">
        <w:rPr>
          <w:rFonts w:eastAsia="Times New Roman" w:cs="Arial"/>
          <w:bCs/>
          <w:szCs w:val="24"/>
          <w:lang w:eastAsia="en-GB"/>
        </w:rPr>
        <w:t>However, that construction seems to us to sit oddly with section 75(3</w:t>
      </w:r>
      <w:proofErr w:type="gramStart"/>
      <w:r w:rsidRPr="007E0BDB">
        <w:rPr>
          <w:rFonts w:eastAsia="Times New Roman" w:cs="Arial"/>
          <w:bCs/>
          <w:szCs w:val="24"/>
          <w:lang w:eastAsia="en-GB"/>
        </w:rPr>
        <w:t>)(</w:t>
      </w:r>
      <w:proofErr w:type="gramEnd"/>
      <w:r w:rsidRPr="007E0BDB">
        <w:rPr>
          <w:rFonts w:eastAsia="Times New Roman" w:cs="Arial"/>
          <w:bCs/>
          <w:szCs w:val="24"/>
          <w:lang w:eastAsia="en-GB"/>
        </w:rPr>
        <w:t>a) because it is</w:t>
      </w:r>
      <w:r>
        <w:rPr>
          <w:rFonts w:eastAsia="Times New Roman" w:cs="Arial"/>
          <w:bCs/>
          <w:szCs w:val="24"/>
          <w:lang w:eastAsia="en-GB"/>
        </w:rPr>
        <w:t xml:space="preserve"> </w:t>
      </w:r>
      <w:r w:rsidRPr="007E0BDB">
        <w:rPr>
          <w:rFonts w:eastAsia="Times New Roman" w:cs="Arial"/>
          <w:bCs/>
          <w:szCs w:val="24"/>
          <w:lang w:eastAsia="en-GB"/>
        </w:rPr>
        <w:t>not easy to see why Parliament should have intended that a local authority should be</w:t>
      </w:r>
      <w:r>
        <w:rPr>
          <w:rFonts w:eastAsia="Times New Roman" w:cs="Arial"/>
          <w:bCs/>
          <w:szCs w:val="24"/>
          <w:lang w:eastAsia="en-GB"/>
        </w:rPr>
        <w:t xml:space="preserve"> </w:t>
      </w:r>
      <w:r w:rsidRPr="007E0BDB">
        <w:rPr>
          <w:rFonts w:eastAsia="Times New Roman" w:cs="Arial"/>
          <w:bCs/>
          <w:szCs w:val="24"/>
          <w:lang w:eastAsia="en-GB"/>
        </w:rPr>
        <w:t>given an open-ended power under regulations under section 75(3)(b) to determine</w:t>
      </w:r>
      <w:r>
        <w:rPr>
          <w:rFonts w:eastAsia="Times New Roman" w:cs="Arial"/>
          <w:bCs/>
          <w:szCs w:val="24"/>
          <w:lang w:eastAsia="en-GB"/>
        </w:rPr>
        <w:t xml:space="preserve"> </w:t>
      </w:r>
      <w:r w:rsidRPr="007E0BDB">
        <w:rPr>
          <w:rFonts w:eastAsia="Times New Roman" w:cs="Arial"/>
          <w:bCs/>
          <w:szCs w:val="24"/>
          <w:lang w:eastAsia="en-GB"/>
        </w:rPr>
        <w:t>that an overpayment is not recoverable from the person to whom it has been paid</w:t>
      </w:r>
      <w:r>
        <w:rPr>
          <w:rFonts w:eastAsia="Times New Roman" w:cs="Arial"/>
          <w:bCs/>
          <w:szCs w:val="24"/>
          <w:lang w:eastAsia="en-GB"/>
        </w:rPr>
        <w:t xml:space="preserve"> </w:t>
      </w:r>
      <w:r w:rsidRPr="007E0BDB">
        <w:rPr>
          <w:rFonts w:eastAsia="Times New Roman" w:cs="Arial"/>
          <w:bCs/>
          <w:szCs w:val="24"/>
          <w:lang w:eastAsia="en-GB"/>
        </w:rPr>
        <w:t>when section 75(3)(a) provides that an overpayment shall always be recoverable</w:t>
      </w:r>
      <w:r>
        <w:rPr>
          <w:rFonts w:eastAsia="Times New Roman" w:cs="Arial"/>
          <w:bCs/>
          <w:szCs w:val="24"/>
          <w:lang w:eastAsia="en-GB"/>
        </w:rPr>
        <w:t xml:space="preserve"> </w:t>
      </w:r>
      <w:r w:rsidRPr="007E0BDB">
        <w:rPr>
          <w:rFonts w:eastAsia="Times New Roman" w:cs="Arial"/>
          <w:bCs/>
          <w:szCs w:val="24"/>
          <w:lang w:eastAsia="en-GB"/>
        </w:rPr>
        <w:t>from such a person save in defined circumstances.</w:t>
      </w:r>
    </w:p>
    <w:p w:rsidR="00304D1A" w:rsidRPr="007E0BDB"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7E0BDB">
        <w:rPr>
          <w:rFonts w:eastAsia="Times New Roman" w:cs="Arial"/>
          <w:bCs/>
          <w:szCs w:val="24"/>
          <w:lang w:eastAsia="en-GB"/>
        </w:rPr>
        <w:t>47. There also seem to us to be other reasons for concluding that section 75(3)(b)</w:t>
      </w:r>
      <w:r>
        <w:rPr>
          <w:rFonts w:eastAsia="Times New Roman" w:cs="Arial"/>
          <w:bCs/>
          <w:szCs w:val="24"/>
          <w:lang w:eastAsia="en-GB"/>
        </w:rPr>
        <w:t xml:space="preserve"> </w:t>
      </w:r>
      <w:r w:rsidRPr="007E0BDB">
        <w:rPr>
          <w:rFonts w:eastAsia="Times New Roman" w:cs="Arial"/>
          <w:bCs/>
          <w:szCs w:val="24"/>
          <w:lang w:eastAsia="en-GB"/>
        </w:rPr>
        <w:t>was not intended to confer on local authorities a broad discretionary power to choose</w:t>
      </w:r>
      <w:r>
        <w:rPr>
          <w:rFonts w:eastAsia="Times New Roman" w:cs="Arial"/>
          <w:bCs/>
          <w:szCs w:val="24"/>
          <w:lang w:eastAsia="en-GB"/>
        </w:rPr>
        <w:t xml:space="preserve"> </w:t>
      </w:r>
      <w:r w:rsidRPr="007E0BDB">
        <w:rPr>
          <w:rFonts w:eastAsia="Times New Roman" w:cs="Arial"/>
          <w:bCs/>
          <w:szCs w:val="24"/>
          <w:lang w:eastAsia="en-GB"/>
        </w:rPr>
        <w:t>whether an overpayment should be recoverable from another person as well as or</w:t>
      </w:r>
      <w:r>
        <w:rPr>
          <w:rFonts w:eastAsia="Times New Roman" w:cs="Arial"/>
          <w:bCs/>
          <w:szCs w:val="24"/>
          <w:lang w:eastAsia="en-GB"/>
        </w:rPr>
        <w:t xml:space="preserve"> </w:t>
      </w:r>
      <w:r w:rsidRPr="007E0BDB">
        <w:rPr>
          <w:rFonts w:eastAsia="Times New Roman" w:cs="Arial"/>
          <w:bCs/>
          <w:szCs w:val="24"/>
          <w:lang w:eastAsia="en-GB"/>
        </w:rPr>
        <w:t>instead of the person to whom an overpayment has been made.</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7E0BDB">
        <w:rPr>
          <w:rFonts w:eastAsia="Times New Roman" w:cs="Arial"/>
          <w:bCs/>
          <w:szCs w:val="24"/>
          <w:lang w:eastAsia="en-GB"/>
        </w:rPr>
        <w:t>48. Given its fiduciary duty to its council tax payers, it is hard to see why a local</w:t>
      </w:r>
      <w:r>
        <w:rPr>
          <w:rFonts w:eastAsia="Times New Roman" w:cs="Arial"/>
          <w:bCs/>
          <w:szCs w:val="24"/>
          <w:lang w:eastAsia="en-GB"/>
        </w:rPr>
        <w:t xml:space="preserve"> </w:t>
      </w:r>
      <w:r w:rsidRPr="007E0BDB">
        <w:rPr>
          <w:rFonts w:eastAsia="Times New Roman" w:cs="Arial"/>
          <w:bCs/>
          <w:szCs w:val="24"/>
          <w:lang w:eastAsia="en-GB"/>
        </w:rPr>
        <w:t>authority, given a free hand, should ever decide that an overpayment is recoverable</w:t>
      </w:r>
      <w:r>
        <w:rPr>
          <w:rFonts w:eastAsia="Times New Roman" w:cs="Arial"/>
          <w:bCs/>
          <w:szCs w:val="24"/>
          <w:lang w:eastAsia="en-GB"/>
        </w:rPr>
        <w:t xml:space="preserve"> </w:t>
      </w:r>
      <w:r w:rsidRPr="007E0BDB">
        <w:rPr>
          <w:rFonts w:eastAsia="Times New Roman" w:cs="Arial"/>
          <w:bCs/>
          <w:szCs w:val="24"/>
          <w:lang w:eastAsia="en-GB"/>
        </w:rPr>
        <w:t>from only one person when it could equally well decide that it is recoverable from</w:t>
      </w:r>
      <w:r>
        <w:rPr>
          <w:rFonts w:eastAsia="Times New Roman" w:cs="Arial"/>
          <w:bCs/>
          <w:szCs w:val="24"/>
          <w:lang w:eastAsia="en-GB"/>
        </w:rPr>
        <w:t xml:space="preserve"> </w:t>
      </w:r>
      <w:r w:rsidRPr="007E0BDB">
        <w:rPr>
          <w:rFonts w:eastAsia="Times New Roman" w:cs="Arial"/>
          <w:bCs/>
          <w:szCs w:val="24"/>
          <w:lang w:eastAsia="en-GB"/>
        </w:rPr>
        <w:t>two.</w:t>
      </w:r>
    </w:p>
    <w:p w:rsidR="00304D1A" w:rsidRPr="007E0BDB" w:rsidRDefault="00304D1A" w:rsidP="00304D1A">
      <w:pPr>
        <w:rPr>
          <w:rFonts w:eastAsia="Times New Roman" w:cs="Arial"/>
          <w:bCs/>
          <w:szCs w:val="24"/>
          <w:lang w:eastAsia="en-GB"/>
        </w:rPr>
      </w:pPr>
    </w:p>
    <w:p w:rsidR="00304D1A" w:rsidRPr="007E0BDB" w:rsidRDefault="00304D1A" w:rsidP="00304D1A">
      <w:pPr>
        <w:rPr>
          <w:rFonts w:eastAsia="Times New Roman" w:cs="Arial"/>
          <w:bCs/>
          <w:szCs w:val="24"/>
          <w:lang w:eastAsia="en-GB"/>
        </w:rPr>
      </w:pPr>
      <w:r w:rsidRPr="007E0BDB">
        <w:rPr>
          <w:rFonts w:eastAsia="Times New Roman" w:cs="Arial"/>
          <w:bCs/>
          <w:szCs w:val="24"/>
          <w:lang w:eastAsia="en-GB"/>
        </w:rPr>
        <w:t>49. Moreover, since a local authority undoubtedly has the same discretion as any</w:t>
      </w:r>
      <w:r>
        <w:rPr>
          <w:rFonts w:eastAsia="Times New Roman" w:cs="Arial"/>
          <w:bCs/>
          <w:szCs w:val="24"/>
          <w:lang w:eastAsia="en-GB"/>
        </w:rPr>
        <w:t xml:space="preserve"> </w:t>
      </w:r>
      <w:r w:rsidRPr="007E0BDB">
        <w:rPr>
          <w:rFonts w:eastAsia="Times New Roman" w:cs="Arial"/>
          <w:bCs/>
          <w:szCs w:val="24"/>
          <w:lang w:eastAsia="en-GB"/>
        </w:rPr>
        <w:t>private law creditor whether and how to enforce private law rights arising out of the</w:t>
      </w:r>
      <w:r>
        <w:rPr>
          <w:rFonts w:eastAsia="Times New Roman" w:cs="Arial"/>
          <w:bCs/>
          <w:szCs w:val="24"/>
          <w:lang w:eastAsia="en-GB"/>
        </w:rPr>
        <w:t xml:space="preserve"> </w:t>
      </w:r>
      <w:r w:rsidRPr="007E0BDB">
        <w:rPr>
          <w:rFonts w:eastAsia="Times New Roman" w:cs="Arial"/>
          <w:bCs/>
          <w:szCs w:val="24"/>
          <w:lang w:eastAsia="en-GB"/>
        </w:rPr>
        <w:t>exercise of its public law powers, there is no obvious reason why Parliament should</w:t>
      </w:r>
      <w:r>
        <w:rPr>
          <w:rFonts w:eastAsia="Times New Roman" w:cs="Arial"/>
          <w:bCs/>
          <w:szCs w:val="24"/>
          <w:lang w:eastAsia="en-GB"/>
        </w:rPr>
        <w:t xml:space="preserve"> </w:t>
      </w:r>
      <w:r w:rsidRPr="007E0BDB">
        <w:rPr>
          <w:rFonts w:eastAsia="Times New Roman" w:cs="Arial"/>
          <w:bCs/>
          <w:szCs w:val="24"/>
          <w:lang w:eastAsia="en-GB"/>
        </w:rPr>
        <w:t>have provided that the public law power to make a recoverability decision should</w:t>
      </w:r>
      <w:r>
        <w:rPr>
          <w:rFonts w:eastAsia="Times New Roman" w:cs="Arial"/>
          <w:bCs/>
          <w:szCs w:val="24"/>
          <w:lang w:eastAsia="en-GB"/>
        </w:rPr>
        <w:t xml:space="preserve"> </w:t>
      </w:r>
      <w:r w:rsidRPr="007E0BDB">
        <w:rPr>
          <w:rFonts w:eastAsia="Times New Roman" w:cs="Arial"/>
          <w:bCs/>
          <w:szCs w:val="24"/>
          <w:lang w:eastAsia="en-GB"/>
        </w:rPr>
        <w:t>also be discretionary. A broad discretion is much more appropriate to questions of</w:t>
      </w:r>
      <w:r>
        <w:rPr>
          <w:rFonts w:eastAsia="Times New Roman" w:cs="Arial"/>
          <w:bCs/>
          <w:szCs w:val="24"/>
          <w:lang w:eastAsia="en-GB"/>
        </w:rPr>
        <w:t xml:space="preserve"> </w:t>
      </w:r>
      <w:r w:rsidRPr="007E0BDB">
        <w:rPr>
          <w:rFonts w:eastAsia="Times New Roman" w:cs="Arial"/>
          <w:bCs/>
          <w:szCs w:val="24"/>
          <w:lang w:eastAsia="en-GB"/>
        </w:rPr>
        <w:t>enforcement than to questions of liability.</w:t>
      </w:r>
      <w:r>
        <w:rPr>
          <w:rFonts w:eastAsia="Times New Roman" w:cs="Arial"/>
          <w:bCs/>
          <w:szCs w:val="24"/>
          <w:lang w:eastAsia="en-GB"/>
        </w:rPr>
        <w:t xml:space="preserve"> </w:t>
      </w:r>
    </w:p>
    <w:p w:rsidR="00304D1A" w:rsidRPr="007E0BDB"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7E0BDB">
        <w:rPr>
          <w:rFonts w:eastAsia="Times New Roman" w:cs="Arial"/>
          <w:bCs/>
          <w:szCs w:val="24"/>
          <w:lang w:eastAsia="en-GB"/>
        </w:rPr>
        <w:t>50. However, perhaps the most compelling argument against the construction of</w:t>
      </w:r>
      <w:r>
        <w:rPr>
          <w:rFonts w:eastAsia="Times New Roman" w:cs="Arial"/>
          <w:bCs/>
          <w:szCs w:val="24"/>
          <w:lang w:eastAsia="en-GB"/>
        </w:rPr>
        <w:t xml:space="preserve"> </w:t>
      </w:r>
      <w:r w:rsidRPr="007E0BDB">
        <w:rPr>
          <w:rFonts w:eastAsia="Times New Roman" w:cs="Arial"/>
          <w:bCs/>
          <w:szCs w:val="24"/>
          <w:lang w:eastAsia="en-GB"/>
        </w:rPr>
        <w:t>section 75(3</w:t>
      </w:r>
      <w:proofErr w:type="gramStart"/>
      <w:r w:rsidRPr="007E0BDB">
        <w:rPr>
          <w:rFonts w:eastAsia="Times New Roman" w:cs="Arial"/>
          <w:bCs/>
          <w:szCs w:val="24"/>
          <w:lang w:eastAsia="en-GB"/>
        </w:rPr>
        <w:t>)(</w:t>
      </w:r>
      <w:proofErr w:type="gramEnd"/>
      <w:r w:rsidRPr="007E0BDB">
        <w:rPr>
          <w:rFonts w:eastAsia="Times New Roman" w:cs="Arial"/>
          <w:bCs/>
          <w:szCs w:val="24"/>
          <w:lang w:eastAsia="en-GB"/>
        </w:rPr>
        <w:t xml:space="preserve">b) supported by Mr </w:t>
      </w:r>
      <w:proofErr w:type="spellStart"/>
      <w:r w:rsidRPr="007E0BDB">
        <w:rPr>
          <w:rFonts w:eastAsia="Times New Roman" w:cs="Arial"/>
          <w:bCs/>
          <w:szCs w:val="24"/>
          <w:lang w:eastAsia="en-GB"/>
        </w:rPr>
        <w:t>Kovats</w:t>
      </w:r>
      <w:proofErr w:type="spellEnd"/>
      <w:r w:rsidRPr="007E0BDB">
        <w:rPr>
          <w:rFonts w:eastAsia="Times New Roman" w:cs="Arial"/>
          <w:bCs/>
          <w:szCs w:val="24"/>
          <w:lang w:eastAsia="en-GB"/>
        </w:rPr>
        <w:t xml:space="preserve"> and Mr </w:t>
      </w:r>
      <w:proofErr w:type="spellStart"/>
      <w:r w:rsidRPr="007E0BDB">
        <w:rPr>
          <w:rFonts w:eastAsia="Times New Roman" w:cs="Arial"/>
          <w:bCs/>
          <w:szCs w:val="24"/>
          <w:lang w:eastAsia="en-GB"/>
        </w:rPr>
        <w:t>Maurici</w:t>
      </w:r>
      <w:proofErr w:type="spellEnd"/>
      <w:r w:rsidRPr="007E0BDB">
        <w:rPr>
          <w:rFonts w:eastAsia="Times New Roman" w:cs="Arial"/>
          <w:bCs/>
          <w:szCs w:val="24"/>
          <w:lang w:eastAsia="en-GB"/>
        </w:rPr>
        <w:t xml:space="preserve"> is that, as the Tribunal of</w:t>
      </w:r>
      <w:r>
        <w:rPr>
          <w:rFonts w:eastAsia="Times New Roman" w:cs="Arial"/>
          <w:bCs/>
          <w:szCs w:val="24"/>
          <w:lang w:eastAsia="en-GB"/>
        </w:rPr>
        <w:t xml:space="preserve"> </w:t>
      </w:r>
      <w:r w:rsidRPr="007E0BDB">
        <w:rPr>
          <w:rFonts w:eastAsia="Times New Roman" w:cs="Arial"/>
          <w:bCs/>
          <w:szCs w:val="24"/>
          <w:lang w:eastAsia="en-GB"/>
        </w:rPr>
        <w:t>Commissioners found in R(H) 3/04, the question whether an overpayment should be</w:t>
      </w:r>
      <w:r>
        <w:rPr>
          <w:rFonts w:eastAsia="Times New Roman" w:cs="Arial"/>
          <w:bCs/>
          <w:szCs w:val="24"/>
          <w:lang w:eastAsia="en-GB"/>
        </w:rPr>
        <w:t xml:space="preserve"> </w:t>
      </w:r>
      <w:r w:rsidRPr="007E0BDB">
        <w:rPr>
          <w:rFonts w:eastAsia="Times New Roman" w:cs="Arial"/>
          <w:bCs/>
          <w:szCs w:val="24"/>
          <w:lang w:eastAsia="en-GB"/>
        </w:rPr>
        <w:t>recovered from the person to whom it was paid or some other person is not really</w:t>
      </w:r>
      <w:r>
        <w:rPr>
          <w:rFonts w:eastAsia="Times New Roman" w:cs="Arial"/>
          <w:bCs/>
          <w:szCs w:val="24"/>
          <w:lang w:eastAsia="en-GB"/>
        </w:rPr>
        <w:t xml:space="preserve"> </w:t>
      </w:r>
      <w:proofErr w:type="spellStart"/>
      <w:r w:rsidRPr="007E0BDB">
        <w:rPr>
          <w:rFonts w:eastAsia="Times New Roman" w:cs="Arial"/>
          <w:bCs/>
          <w:szCs w:val="24"/>
          <w:lang w:eastAsia="en-GB"/>
        </w:rPr>
        <w:t>justiciable</w:t>
      </w:r>
      <w:proofErr w:type="spellEnd"/>
      <w:r w:rsidRPr="007E0BDB">
        <w:rPr>
          <w:rFonts w:eastAsia="Times New Roman" w:cs="Arial"/>
          <w:bCs/>
          <w:szCs w:val="24"/>
          <w:lang w:eastAsia="en-GB"/>
        </w:rPr>
        <w:t xml:space="preserve"> in the absence of any statutory guidance as to the relevant considerations.</w:t>
      </w:r>
      <w:r>
        <w:rPr>
          <w:rFonts w:eastAsia="Times New Roman" w:cs="Arial"/>
          <w:bCs/>
          <w:szCs w:val="24"/>
          <w:lang w:eastAsia="en-GB"/>
        </w:rPr>
        <w:t xml:space="preserve"> </w:t>
      </w:r>
      <w:r w:rsidRPr="007E0BDB">
        <w:rPr>
          <w:rFonts w:eastAsia="Times New Roman" w:cs="Arial"/>
          <w:bCs/>
          <w:szCs w:val="24"/>
          <w:lang w:eastAsia="en-GB"/>
        </w:rPr>
        <w:t xml:space="preserve">If there is to be a power to relieve a person to whom an overpayment has </w:t>
      </w:r>
      <w:proofErr w:type="gramStart"/>
      <w:r w:rsidRPr="007E0BDB">
        <w:rPr>
          <w:rFonts w:eastAsia="Times New Roman" w:cs="Arial"/>
          <w:bCs/>
          <w:szCs w:val="24"/>
          <w:lang w:eastAsia="en-GB"/>
        </w:rPr>
        <w:t xml:space="preserve">been </w:t>
      </w:r>
      <w:r>
        <w:rPr>
          <w:rFonts w:eastAsia="Times New Roman" w:cs="Arial"/>
          <w:bCs/>
          <w:szCs w:val="24"/>
          <w:lang w:eastAsia="en-GB"/>
        </w:rPr>
        <w:t xml:space="preserve"> m</w:t>
      </w:r>
      <w:r w:rsidRPr="007E0BDB">
        <w:rPr>
          <w:rFonts w:eastAsia="Times New Roman" w:cs="Arial"/>
          <w:bCs/>
          <w:szCs w:val="24"/>
          <w:lang w:eastAsia="en-GB"/>
        </w:rPr>
        <w:t>ade</w:t>
      </w:r>
      <w:proofErr w:type="gramEnd"/>
      <w:r>
        <w:rPr>
          <w:rFonts w:eastAsia="Times New Roman" w:cs="Arial"/>
          <w:bCs/>
          <w:szCs w:val="24"/>
          <w:lang w:eastAsia="en-GB"/>
        </w:rPr>
        <w:t xml:space="preserve"> </w:t>
      </w:r>
      <w:r w:rsidRPr="007E0BDB">
        <w:rPr>
          <w:rFonts w:eastAsia="Times New Roman" w:cs="Arial"/>
          <w:bCs/>
          <w:szCs w:val="24"/>
          <w:lang w:eastAsia="en-GB"/>
        </w:rPr>
        <w:t xml:space="preserve">from the liability to repay it and if the exercise of that power is to be subject to </w:t>
      </w:r>
      <w:r>
        <w:rPr>
          <w:rFonts w:eastAsia="Times New Roman" w:cs="Arial"/>
          <w:bCs/>
          <w:szCs w:val="24"/>
          <w:lang w:eastAsia="en-GB"/>
        </w:rPr>
        <w:t xml:space="preserve"> a </w:t>
      </w:r>
      <w:r w:rsidRPr="007E0BDB">
        <w:rPr>
          <w:rFonts w:eastAsia="Times New Roman" w:cs="Arial"/>
          <w:bCs/>
          <w:szCs w:val="24"/>
          <w:lang w:eastAsia="en-GB"/>
        </w:rPr>
        <w:t>right of appeal that is not expressly limited to points of law, it is to be expected that</w:t>
      </w:r>
      <w:r>
        <w:rPr>
          <w:rFonts w:eastAsia="Times New Roman" w:cs="Arial"/>
          <w:bCs/>
          <w:szCs w:val="24"/>
          <w:lang w:eastAsia="en-GB"/>
        </w:rPr>
        <w:t xml:space="preserve"> </w:t>
      </w:r>
      <w:r w:rsidRPr="007E0BDB">
        <w:rPr>
          <w:rFonts w:eastAsia="Times New Roman" w:cs="Arial"/>
          <w:bCs/>
          <w:szCs w:val="24"/>
          <w:lang w:eastAsia="en-GB"/>
        </w:rPr>
        <w:t>the legislation will give some guidance as to the circumstances in which the power is</w:t>
      </w:r>
      <w:r>
        <w:rPr>
          <w:rFonts w:eastAsia="Times New Roman" w:cs="Arial"/>
          <w:bCs/>
          <w:szCs w:val="24"/>
          <w:lang w:eastAsia="en-GB"/>
        </w:rPr>
        <w:t xml:space="preserve"> </w:t>
      </w:r>
      <w:r w:rsidRPr="007E0BDB">
        <w:rPr>
          <w:rFonts w:eastAsia="Times New Roman" w:cs="Arial"/>
          <w:bCs/>
          <w:szCs w:val="24"/>
          <w:lang w:eastAsia="en-GB"/>
        </w:rPr>
        <w:lastRenderedPageBreak/>
        <w:t>to be exercised, unless the context is such that the relevant considerations can be</w:t>
      </w:r>
      <w:r>
        <w:rPr>
          <w:rFonts w:eastAsia="Times New Roman" w:cs="Arial"/>
          <w:bCs/>
          <w:szCs w:val="24"/>
          <w:lang w:eastAsia="en-GB"/>
        </w:rPr>
        <w:t xml:space="preserve"> </w:t>
      </w:r>
      <w:r w:rsidRPr="007E0BDB">
        <w:rPr>
          <w:rFonts w:eastAsia="Times New Roman" w:cs="Arial"/>
          <w:bCs/>
          <w:szCs w:val="24"/>
          <w:lang w:eastAsia="en-GB"/>
        </w:rPr>
        <w:t>implied. Here, neither the context nor section 75(3</w:t>
      </w:r>
      <w:proofErr w:type="gramStart"/>
      <w:r w:rsidRPr="007E0BDB">
        <w:rPr>
          <w:rFonts w:eastAsia="Times New Roman" w:cs="Arial"/>
          <w:bCs/>
          <w:szCs w:val="24"/>
          <w:lang w:eastAsia="en-GB"/>
        </w:rPr>
        <w:t>)(</w:t>
      </w:r>
      <w:proofErr w:type="gramEnd"/>
      <w:r w:rsidRPr="007E0BDB">
        <w:rPr>
          <w:rFonts w:eastAsia="Times New Roman" w:cs="Arial"/>
          <w:bCs/>
          <w:szCs w:val="24"/>
          <w:lang w:eastAsia="en-GB"/>
        </w:rPr>
        <w:t>b) gives any guidance and, on</w:t>
      </w:r>
      <w:r>
        <w:rPr>
          <w:rFonts w:eastAsia="Times New Roman" w:cs="Arial"/>
          <w:bCs/>
          <w:szCs w:val="24"/>
          <w:lang w:eastAsia="en-GB"/>
        </w:rPr>
        <w:t xml:space="preserve"> </w:t>
      </w:r>
      <w:r w:rsidRPr="007E0BDB">
        <w:rPr>
          <w:rFonts w:eastAsia="Times New Roman" w:cs="Arial"/>
          <w:bCs/>
          <w:szCs w:val="24"/>
          <w:lang w:eastAsia="en-GB"/>
        </w:rPr>
        <w:t>this construction, section 75(3)(b) fails to require secondary legislation to do so.</w:t>
      </w:r>
    </w:p>
    <w:p w:rsidR="00304D1A" w:rsidRDefault="00304D1A" w:rsidP="00304D1A">
      <w:pPr>
        <w:rPr>
          <w:rFonts w:eastAsia="Times New Roman" w:cs="Arial"/>
          <w:bCs/>
          <w:szCs w:val="24"/>
          <w:lang w:eastAsia="en-GB"/>
        </w:rPr>
      </w:pPr>
    </w:p>
    <w:p w:rsidR="00304D1A" w:rsidRDefault="00304D1A" w:rsidP="00304D1A">
      <w:pPr>
        <w:rPr>
          <w:rFonts w:eastAsia="Times New Roman" w:cs="Arial"/>
          <w:bCs/>
          <w:szCs w:val="24"/>
          <w:lang w:eastAsia="en-GB"/>
        </w:rPr>
      </w:pPr>
      <w:r w:rsidRPr="007E0BDB">
        <w:rPr>
          <w:rFonts w:eastAsia="Times New Roman" w:cs="Arial"/>
          <w:bCs/>
          <w:szCs w:val="24"/>
          <w:lang w:eastAsia="en-GB"/>
        </w:rPr>
        <w:t xml:space="preserve">51. Mr </w:t>
      </w:r>
      <w:proofErr w:type="spellStart"/>
      <w:r w:rsidRPr="007E0BDB">
        <w:rPr>
          <w:rFonts w:eastAsia="Times New Roman" w:cs="Arial"/>
          <w:bCs/>
          <w:szCs w:val="24"/>
          <w:lang w:eastAsia="en-GB"/>
        </w:rPr>
        <w:t>Kovats</w:t>
      </w:r>
      <w:proofErr w:type="spellEnd"/>
      <w:r w:rsidRPr="007E0BDB">
        <w:rPr>
          <w:rFonts w:eastAsia="Times New Roman" w:cs="Arial"/>
          <w:bCs/>
          <w:szCs w:val="24"/>
          <w:lang w:eastAsia="en-GB"/>
        </w:rPr>
        <w:t xml:space="preserve"> and Mr </w:t>
      </w:r>
      <w:proofErr w:type="spellStart"/>
      <w:r w:rsidRPr="007E0BDB">
        <w:rPr>
          <w:rFonts w:eastAsia="Times New Roman" w:cs="Arial"/>
          <w:bCs/>
          <w:szCs w:val="24"/>
          <w:lang w:eastAsia="en-GB"/>
        </w:rPr>
        <w:t>Maurici</w:t>
      </w:r>
      <w:proofErr w:type="spellEnd"/>
      <w:r w:rsidRPr="007E0BDB">
        <w:rPr>
          <w:rFonts w:eastAsia="Times New Roman" w:cs="Arial"/>
          <w:bCs/>
          <w:szCs w:val="24"/>
          <w:lang w:eastAsia="en-GB"/>
        </w:rPr>
        <w:t xml:space="preserve"> submitted that the second possible construction,</w:t>
      </w:r>
      <w:r>
        <w:rPr>
          <w:rFonts w:eastAsia="Times New Roman" w:cs="Arial"/>
          <w:bCs/>
          <w:szCs w:val="24"/>
          <w:lang w:eastAsia="en-GB"/>
        </w:rPr>
        <w:t xml:space="preserve"> </w:t>
      </w:r>
      <w:r w:rsidRPr="007E0BDB">
        <w:rPr>
          <w:rFonts w:eastAsia="Times New Roman" w:cs="Arial"/>
          <w:bCs/>
          <w:szCs w:val="24"/>
          <w:lang w:eastAsia="en-GB"/>
        </w:rPr>
        <w:t>which was one of two alternative constructions suggested by the Chief</w:t>
      </w:r>
      <w:r>
        <w:rPr>
          <w:rFonts w:eastAsia="Times New Roman" w:cs="Arial"/>
          <w:bCs/>
          <w:szCs w:val="24"/>
          <w:lang w:eastAsia="en-GB"/>
        </w:rPr>
        <w:t xml:space="preserve"> </w:t>
      </w:r>
      <w:r w:rsidRPr="007E0BDB">
        <w:rPr>
          <w:rFonts w:eastAsia="Times New Roman" w:cs="Arial"/>
          <w:bCs/>
          <w:szCs w:val="24"/>
          <w:lang w:eastAsia="en-GB"/>
        </w:rPr>
        <w:t>Commissioner when directing that this appeal be heard by a Tribunal of</w:t>
      </w:r>
      <w:r>
        <w:rPr>
          <w:rFonts w:eastAsia="Times New Roman" w:cs="Arial"/>
          <w:bCs/>
          <w:szCs w:val="24"/>
          <w:lang w:eastAsia="en-GB"/>
        </w:rPr>
        <w:t xml:space="preserve"> </w:t>
      </w:r>
      <w:r w:rsidRPr="007E0BDB">
        <w:rPr>
          <w:rFonts w:eastAsia="Times New Roman" w:cs="Arial"/>
          <w:bCs/>
          <w:szCs w:val="24"/>
          <w:lang w:eastAsia="en-GB"/>
        </w:rPr>
        <w:t>Commissioners, was untenable. It would, in effect, mean that the question whether</w:t>
      </w:r>
      <w:r>
        <w:rPr>
          <w:rFonts w:eastAsia="Times New Roman" w:cs="Arial"/>
          <w:bCs/>
          <w:szCs w:val="24"/>
          <w:lang w:eastAsia="en-GB"/>
        </w:rPr>
        <w:t xml:space="preserve"> </w:t>
      </w:r>
      <w:r w:rsidRPr="007E0BDB">
        <w:rPr>
          <w:rFonts w:eastAsia="Times New Roman" w:cs="Arial"/>
          <w:bCs/>
          <w:szCs w:val="24"/>
          <w:lang w:eastAsia="en-GB"/>
        </w:rPr>
        <w:t>an overpayment is recoverable from a prescribed person as well as, rather than</w:t>
      </w:r>
      <w:r>
        <w:rPr>
          <w:rFonts w:eastAsia="Times New Roman" w:cs="Arial"/>
          <w:bCs/>
          <w:szCs w:val="24"/>
          <w:lang w:eastAsia="en-GB"/>
        </w:rPr>
        <w:t xml:space="preserve"> </w:t>
      </w:r>
      <w:r w:rsidRPr="007E0BDB">
        <w:rPr>
          <w:rFonts w:eastAsia="Times New Roman" w:cs="Arial"/>
          <w:bCs/>
          <w:szCs w:val="24"/>
          <w:lang w:eastAsia="en-GB"/>
        </w:rPr>
        <w:t>instead of, the person to whom it was made would be determined by the terms of</w:t>
      </w:r>
      <w:r>
        <w:rPr>
          <w:rFonts w:eastAsia="Times New Roman" w:cs="Arial"/>
          <w:bCs/>
          <w:szCs w:val="24"/>
          <w:lang w:eastAsia="en-GB"/>
        </w:rPr>
        <w:t xml:space="preserve"> </w:t>
      </w:r>
      <w:r w:rsidRPr="007E0BDB">
        <w:rPr>
          <w:rFonts w:eastAsia="Times New Roman" w:cs="Arial"/>
          <w:bCs/>
          <w:szCs w:val="24"/>
          <w:lang w:eastAsia="en-GB"/>
        </w:rPr>
        <w:t>regulation 101(1), which is made under section 75(3)(a). That would be perfectly</w:t>
      </w:r>
      <w:r>
        <w:rPr>
          <w:rFonts w:eastAsia="Times New Roman" w:cs="Arial"/>
          <w:bCs/>
          <w:szCs w:val="24"/>
          <w:lang w:eastAsia="en-GB"/>
        </w:rPr>
        <w:t xml:space="preserve"> </w:t>
      </w:r>
      <w:r w:rsidRPr="007E0BDB">
        <w:rPr>
          <w:rFonts w:eastAsia="Times New Roman" w:cs="Arial"/>
          <w:bCs/>
          <w:szCs w:val="24"/>
          <w:lang w:eastAsia="en-GB"/>
        </w:rPr>
        <w:t>sensible but we are driven to accept that the words in parenthesis would not add</w:t>
      </w:r>
      <w:r>
        <w:rPr>
          <w:rFonts w:eastAsia="Times New Roman" w:cs="Arial"/>
          <w:bCs/>
          <w:szCs w:val="24"/>
          <w:lang w:eastAsia="en-GB"/>
        </w:rPr>
        <w:t xml:space="preserve"> </w:t>
      </w:r>
      <w:r w:rsidRPr="007E0BDB">
        <w:rPr>
          <w:rFonts w:eastAsia="Times New Roman" w:cs="Arial"/>
          <w:bCs/>
          <w:szCs w:val="24"/>
          <w:lang w:eastAsia="en-GB"/>
        </w:rPr>
        <w:t>anything to the rest of the paragraph if that construction were correct. In the absence</w:t>
      </w:r>
      <w:r>
        <w:rPr>
          <w:rFonts w:eastAsia="Times New Roman" w:cs="Arial"/>
          <w:bCs/>
          <w:szCs w:val="24"/>
          <w:lang w:eastAsia="en-GB"/>
        </w:rPr>
        <w:t xml:space="preserve"> </w:t>
      </w:r>
      <w:r w:rsidRPr="007E0BDB">
        <w:rPr>
          <w:rFonts w:eastAsia="Times New Roman" w:cs="Arial"/>
          <w:bCs/>
          <w:szCs w:val="24"/>
          <w:lang w:eastAsia="en-GB"/>
        </w:rPr>
        <w:t>of any clear indication to the contrary, words in legislation are to be presumed to</w:t>
      </w:r>
      <w:r>
        <w:rPr>
          <w:rFonts w:eastAsia="Times New Roman" w:cs="Arial"/>
          <w:bCs/>
          <w:szCs w:val="24"/>
          <w:lang w:eastAsia="en-GB"/>
        </w:rPr>
        <w:t xml:space="preserve"> </w:t>
      </w:r>
      <w:r w:rsidRPr="007E0BDB">
        <w:rPr>
          <w:rFonts w:eastAsia="Times New Roman" w:cs="Arial"/>
          <w:bCs/>
          <w:szCs w:val="24"/>
          <w:lang w:eastAsia="en-GB"/>
        </w:rPr>
        <w:t>have some purpose and meaning and we therefore accept that the draftsman of</w:t>
      </w:r>
      <w:r>
        <w:rPr>
          <w:rFonts w:eastAsia="Times New Roman" w:cs="Arial"/>
          <w:bCs/>
          <w:szCs w:val="24"/>
          <w:lang w:eastAsia="en-GB"/>
        </w:rPr>
        <w:t xml:space="preserve"> </w:t>
      </w:r>
      <w:r w:rsidRPr="007E0BDB">
        <w:rPr>
          <w:rFonts w:eastAsia="Times New Roman" w:cs="Arial"/>
          <w:bCs/>
          <w:szCs w:val="24"/>
          <w:lang w:eastAsia="en-GB"/>
        </w:rPr>
        <w:t>section 75(3)(b) intended the scope of the regulation-making power to be wider, so</w:t>
      </w:r>
      <w:r>
        <w:rPr>
          <w:rFonts w:eastAsia="Times New Roman" w:cs="Arial"/>
          <w:bCs/>
          <w:szCs w:val="24"/>
          <w:lang w:eastAsia="en-GB"/>
        </w:rPr>
        <w:t xml:space="preserve"> </w:t>
      </w:r>
      <w:r w:rsidRPr="007E0BDB">
        <w:rPr>
          <w:rFonts w:eastAsia="Times New Roman" w:cs="Arial"/>
          <w:bCs/>
          <w:szCs w:val="24"/>
          <w:lang w:eastAsia="en-GB"/>
        </w:rPr>
        <w:t>that regulations may be made that have the effect that an overpayment may be</w:t>
      </w:r>
      <w:r>
        <w:rPr>
          <w:rFonts w:eastAsia="Times New Roman" w:cs="Arial"/>
          <w:bCs/>
          <w:szCs w:val="24"/>
          <w:lang w:eastAsia="en-GB"/>
        </w:rPr>
        <w:t xml:space="preserve"> </w:t>
      </w:r>
      <w:r w:rsidRPr="007E0BDB">
        <w:rPr>
          <w:rFonts w:eastAsia="Times New Roman" w:cs="Arial"/>
          <w:bCs/>
          <w:szCs w:val="24"/>
          <w:lang w:eastAsia="en-GB"/>
        </w:rPr>
        <w:t>recoverable from a prescribed person instead of the person to whom the overpayment</w:t>
      </w:r>
      <w:r>
        <w:rPr>
          <w:rFonts w:eastAsia="Times New Roman" w:cs="Arial"/>
          <w:bCs/>
          <w:szCs w:val="24"/>
          <w:lang w:eastAsia="en-GB"/>
        </w:rPr>
        <w:t xml:space="preserve"> </w:t>
      </w:r>
      <w:r w:rsidRPr="007E0BDB">
        <w:rPr>
          <w:rFonts w:eastAsia="Times New Roman" w:cs="Arial"/>
          <w:bCs/>
          <w:szCs w:val="24"/>
          <w:lang w:eastAsia="en-GB"/>
        </w:rPr>
        <w:t xml:space="preserve">was made even where regulations under </w:t>
      </w:r>
      <w:r>
        <w:rPr>
          <w:rFonts w:eastAsia="Times New Roman" w:cs="Arial"/>
          <w:bCs/>
          <w:szCs w:val="24"/>
          <w:lang w:eastAsia="en-GB"/>
        </w:rPr>
        <w:t xml:space="preserve"> s</w:t>
      </w:r>
      <w:r w:rsidRPr="007E0BDB">
        <w:rPr>
          <w:rFonts w:eastAsia="Times New Roman" w:cs="Arial"/>
          <w:bCs/>
          <w:szCs w:val="24"/>
          <w:lang w:eastAsia="en-GB"/>
        </w:rPr>
        <w:t>ection 75(3)(a) do not apply.</w:t>
      </w:r>
    </w:p>
    <w:p w:rsidR="00304D1A" w:rsidRDefault="00304D1A" w:rsidP="00304D1A">
      <w:pPr>
        <w:rPr>
          <w:rFonts w:eastAsia="Times New Roman" w:cs="Arial"/>
          <w:bCs/>
          <w:szCs w:val="24"/>
          <w:lang w:eastAsia="en-GB"/>
        </w:rPr>
      </w:pPr>
    </w:p>
    <w:p w:rsidR="00304D1A" w:rsidRPr="007E0BDB" w:rsidRDefault="00304D1A" w:rsidP="00304D1A">
      <w:pPr>
        <w:rPr>
          <w:rFonts w:cs="Arial"/>
        </w:rPr>
      </w:pPr>
      <w:r w:rsidRPr="007E0BDB">
        <w:rPr>
          <w:rFonts w:eastAsia="Times New Roman" w:cs="Arial"/>
          <w:bCs/>
          <w:szCs w:val="24"/>
          <w:lang w:eastAsia="en-GB"/>
        </w:rPr>
        <w:t>52. The third construction, which is the other construction suggested by the Chief</w:t>
      </w:r>
      <w:r>
        <w:rPr>
          <w:rFonts w:eastAsia="Times New Roman" w:cs="Arial"/>
          <w:bCs/>
          <w:szCs w:val="24"/>
          <w:lang w:eastAsia="en-GB"/>
        </w:rPr>
        <w:t xml:space="preserve"> </w:t>
      </w:r>
      <w:r w:rsidRPr="007E0BDB">
        <w:rPr>
          <w:rFonts w:eastAsia="Times New Roman" w:cs="Arial"/>
          <w:bCs/>
          <w:szCs w:val="24"/>
          <w:lang w:eastAsia="en-GB"/>
        </w:rPr>
        <w:t>Commissioner, requires that any regulation made under section 75(3)(b) should</w:t>
      </w:r>
      <w:r>
        <w:rPr>
          <w:rFonts w:eastAsia="Times New Roman" w:cs="Arial"/>
          <w:bCs/>
          <w:szCs w:val="24"/>
          <w:lang w:eastAsia="en-GB"/>
        </w:rPr>
        <w:t xml:space="preserve"> </w:t>
      </w:r>
      <w:r w:rsidRPr="007E0BDB">
        <w:rPr>
          <w:rFonts w:eastAsia="Times New Roman" w:cs="Arial"/>
          <w:bCs/>
          <w:szCs w:val="24"/>
          <w:lang w:eastAsia="en-GB"/>
        </w:rPr>
        <w:t>specify whether a prescribed person is jointly liable with the person to whom the</w:t>
      </w:r>
      <w:r>
        <w:rPr>
          <w:rFonts w:eastAsia="Times New Roman" w:cs="Arial"/>
          <w:bCs/>
          <w:szCs w:val="24"/>
          <w:lang w:eastAsia="en-GB"/>
        </w:rPr>
        <w:t xml:space="preserve"> </w:t>
      </w:r>
      <w:r w:rsidRPr="007E0BDB">
        <w:rPr>
          <w:rFonts w:eastAsia="Times New Roman" w:cs="Arial"/>
          <w:bCs/>
          <w:szCs w:val="24"/>
          <w:lang w:eastAsia="en-GB"/>
        </w:rPr>
        <w:t>payment was made or is liable instead of that person. Under this construction the</w:t>
      </w:r>
      <w:r>
        <w:rPr>
          <w:rFonts w:eastAsia="Times New Roman" w:cs="Arial"/>
          <w:bCs/>
          <w:szCs w:val="24"/>
          <w:lang w:eastAsia="en-GB"/>
        </w:rPr>
        <w:t xml:space="preserve"> </w:t>
      </w:r>
      <w:r w:rsidRPr="007E0BDB">
        <w:rPr>
          <w:rFonts w:eastAsia="Times New Roman" w:cs="Arial"/>
          <w:bCs/>
          <w:szCs w:val="24"/>
          <w:lang w:eastAsia="en-GB"/>
        </w:rPr>
        <w:t>words in parenthesis have a purpose. The construction is consistent with section</w:t>
      </w:r>
      <w:r>
        <w:rPr>
          <w:rFonts w:eastAsia="Times New Roman" w:cs="Arial"/>
          <w:bCs/>
          <w:szCs w:val="24"/>
          <w:lang w:eastAsia="en-GB"/>
        </w:rPr>
        <w:t xml:space="preserve"> </w:t>
      </w:r>
      <w:r w:rsidRPr="007E0BDB">
        <w:rPr>
          <w:rFonts w:eastAsia="Times New Roman" w:cs="Arial"/>
          <w:bCs/>
          <w:szCs w:val="24"/>
          <w:lang w:eastAsia="en-GB"/>
        </w:rPr>
        <w:t>75(3</w:t>
      </w:r>
      <w:proofErr w:type="gramStart"/>
      <w:r w:rsidRPr="007E0BDB">
        <w:rPr>
          <w:rFonts w:eastAsia="Times New Roman" w:cs="Arial"/>
          <w:bCs/>
          <w:szCs w:val="24"/>
          <w:lang w:eastAsia="en-GB"/>
        </w:rPr>
        <w:t>)(</w:t>
      </w:r>
      <w:proofErr w:type="gramEnd"/>
      <w:r w:rsidRPr="007E0BDB">
        <w:rPr>
          <w:rFonts w:eastAsia="Times New Roman" w:cs="Arial"/>
          <w:bCs/>
          <w:szCs w:val="24"/>
          <w:lang w:eastAsia="en-GB"/>
        </w:rPr>
        <w:t>a) because, where the Secretary of State makes regulations providing that an</w:t>
      </w:r>
      <w:r>
        <w:rPr>
          <w:rFonts w:eastAsia="Times New Roman" w:cs="Arial"/>
          <w:bCs/>
          <w:szCs w:val="24"/>
          <w:lang w:eastAsia="en-GB"/>
        </w:rPr>
        <w:t xml:space="preserve"> </w:t>
      </w:r>
      <w:r w:rsidRPr="007E0BDB">
        <w:rPr>
          <w:rFonts w:eastAsia="Times New Roman" w:cs="Arial"/>
          <w:bCs/>
          <w:szCs w:val="24"/>
          <w:lang w:eastAsia="en-GB"/>
        </w:rPr>
        <w:t>overpayment is recoverable from a prescribed person instead of the person to whom</w:t>
      </w:r>
      <w:r>
        <w:rPr>
          <w:rFonts w:eastAsia="Times New Roman" w:cs="Arial"/>
          <w:bCs/>
          <w:szCs w:val="24"/>
          <w:lang w:eastAsia="en-GB"/>
        </w:rPr>
        <w:t xml:space="preserve"> </w:t>
      </w:r>
      <w:r w:rsidRPr="007E0BDB">
        <w:rPr>
          <w:rFonts w:eastAsia="Times New Roman" w:cs="Arial"/>
          <w:bCs/>
          <w:szCs w:val="24"/>
          <w:lang w:eastAsia="en-GB"/>
        </w:rPr>
        <w:t>it was made, he is, in effect, providing for additional, but defined, circumstances in</w:t>
      </w:r>
      <w:r>
        <w:rPr>
          <w:rFonts w:eastAsia="Times New Roman" w:cs="Arial"/>
          <w:bCs/>
          <w:szCs w:val="24"/>
          <w:lang w:eastAsia="en-GB"/>
        </w:rPr>
        <w:t xml:space="preserve"> </w:t>
      </w:r>
      <w:r w:rsidRPr="007E0BDB">
        <w:rPr>
          <w:rFonts w:eastAsia="Times New Roman" w:cs="Arial"/>
          <w:bCs/>
          <w:szCs w:val="24"/>
          <w:lang w:eastAsia="en-GB"/>
        </w:rPr>
        <w:t>which the person to whom the payment was made is not liable to repay an</w:t>
      </w:r>
      <w:r>
        <w:rPr>
          <w:rFonts w:eastAsia="Times New Roman" w:cs="Arial"/>
          <w:bCs/>
          <w:szCs w:val="24"/>
          <w:lang w:eastAsia="en-GB"/>
        </w:rPr>
        <w:t xml:space="preserve"> </w:t>
      </w:r>
      <w:r w:rsidRPr="007E0BDB">
        <w:rPr>
          <w:rFonts w:eastAsia="Times New Roman" w:cs="Arial"/>
          <w:bCs/>
          <w:szCs w:val="24"/>
          <w:lang w:eastAsia="en-GB"/>
        </w:rPr>
        <w:t>overpayment. The circumstances are defined by the terms in which the prescribed</w:t>
      </w:r>
      <w:r>
        <w:rPr>
          <w:rFonts w:eastAsia="Times New Roman" w:cs="Arial"/>
          <w:bCs/>
          <w:szCs w:val="24"/>
          <w:lang w:eastAsia="en-GB"/>
        </w:rPr>
        <w:t xml:space="preserve"> </w:t>
      </w:r>
      <w:r w:rsidRPr="007E0BDB">
        <w:rPr>
          <w:rFonts w:eastAsia="Times New Roman" w:cs="Arial"/>
          <w:bCs/>
          <w:szCs w:val="24"/>
          <w:lang w:eastAsia="en-GB"/>
        </w:rPr>
        <w:t>person is defined or by the circumstances in respect of which he is prescribed (see</w:t>
      </w:r>
      <w:r>
        <w:rPr>
          <w:rFonts w:eastAsia="Times New Roman" w:cs="Arial"/>
          <w:bCs/>
          <w:szCs w:val="24"/>
          <w:lang w:eastAsia="en-GB"/>
        </w:rPr>
        <w:t xml:space="preserve"> </w:t>
      </w:r>
      <w:r w:rsidRPr="007E0BDB">
        <w:rPr>
          <w:rFonts w:eastAsia="Times New Roman" w:cs="Arial"/>
          <w:bCs/>
          <w:szCs w:val="24"/>
          <w:lang w:eastAsia="en-GB"/>
        </w:rPr>
        <w:t>section 189(4)). This construction is also consistent with paragraph 6(6) of Schedule</w:t>
      </w:r>
      <w:r>
        <w:rPr>
          <w:rFonts w:eastAsia="Times New Roman" w:cs="Arial"/>
          <w:bCs/>
          <w:szCs w:val="24"/>
          <w:lang w:eastAsia="en-GB"/>
        </w:rPr>
        <w:t xml:space="preserve"> </w:t>
      </w:r>
      <w:r w:rsidRPr="007E0BDB">
        <w:rPr>
          <w:rFonts w:eastAsia="Times New Roman" w:cs="Arial"/>
          <w:bCs/>
          <w:szCs w:val="24"/>
          <w:lang w:eastAsia="en-GB"/>
        </w:rPr>
        <w:t>7, which provides a right of appeal to a tribunal in terms that do not limit it to points</w:t>
      </w:r>
      <w:r>
        <w:rPr>
          <w:rFonts w:eastAsia="Times New Roman" w:cs="Arial"/>
          <w:bCs/>
          <w:szCs w:val="24"/>
          <w:lang w:eastAsia="en-GB"/>
        </w:rPr>
        <w:t xml:space="preserve"> </w:t>
      </w:r>
      <w:r w:rsidRPr="007E0BDB">
        <w:rPr>
          <w:rFonts w:eastAsia="Times New Roman" w:cs="Arial"/>
          <w:bCs/>
          <w:szCs w:val="24"/>
          <w:lang w:eastAsia="en-GB"/>
        </w:rPr>
        <w:t>of law, because all issues arising under regulations made under section 75(3) as to</w:t>
      </w:r>
      <w:r>
        <w:rPr>
          <w:rFonts w:eastAsia="Times New Roman" w:cs="Arial"/>
          <w:bCs/>
          <w:szCs w:val="24"/>
          <w:lang w:eastAsia="en-GB"/>
        </w:rPr>
        <w:t xml:space="preserve"> </w:t>
      </w:r>
      <w:r w:rsidRPr="007E0BDB">
        <w:rPr>
          <w:rFonts w:eastAsia="Times New Roman" w:cs="Arial"/>
          <w:bCs/>
          <w:szCs w:val="24"/>
          <w:lang w:eastAsia="en-GB"/>
        </w:rPr>
        <w:t xml:space="preserve">from whom an overpayment is recoverable are </w:t>
      </w:r>
      <w:proofErr w:type="spellStart"/>
      <w:r w:rsidRPr="007E0BDB">
        <w:rPr>
          <w:rFonts w:eastAsia="Times New Roman" w:cs="Arial"/>
          <w:bCs/>
          <w:szCs w:val="24"/>
          <w:lang w:eastAsia="en-GB"/>
        </w:rPr>
        <w:t>justiciable</w:t>
      </w:r>
      <w:proofErr w:type="spellEnd"/>
      <w:r w:rsidRPr="007E0BDB">
        <w:rPr>
          <w:rFonts w:eastAsia="Times New Roman" w:cs="Arial"/>
          <w:bCs/>
          <w:szCs w:val="24"/>
          <w:lang w:eastAsia="en-GB"/>
        </w:rPr>
        <w:t>. If the Secretary of State</w:t>
      </w:r>
      <w:r>
        <w:rPr>
          <w:rFonts w:eastAsia="Times New Roman" w:cs="Arial"/>
          <w:bCs/>
          <w:szCs w:val="24"/>
          <w:lang w:eastAsia="en-GB"/>
        </w:rPr>
        <w:t xml:space="preserve"> </w:t>
      </w:r>
      <w:r w:rsidRPr="007E0BDB">
        <w:rPr>
          <w:rFonts w:eastAsia="Times New Roman" w:cs="Arial"/>
          <w:bCs/>
          <w:szCs w:val="24"/>
          <w:lang w:eastAsia="en-GB"/>
        </w:rPr>
        <w:t>makes regulations having the effect that an overpayment is recoverable from a</w:t>
      </w:r>
      <w:r>
        <w:rPr>
          <w:rFonts w:eastAsia="Times New Roman" w:cs="Arial"/>
          <w:bCs/>
          <w:szCs w:val="24"/>
          <w:lang w:eastAsia="en-GB"/>
        </w:rPr>
        <w:t xml:space="preserve"> </w:t>
      </w:r>
      <w:r w:rsidRPr="007E0BDB">
        <w:rPr>
          <w:rFonts w:eastAsia="Times New Roman" w:cs="Arial"/>
          <w:bCs/>
          <w:szCs w:val="24"/>
          <w:lang w:eastAsia="en-GB"/>
        </w:rPr>
        <w:t>prescribed person as well as the person to whom it is made, the non-</w:t>
      </w:r>
      <w:proofErr w:type="spellStart"/>
      <w:r w:rsidRPr="007E0BDB">
        <w:rPr>
          <w:rFonts w:eastAsia="Times New Roman" w:cs="Arial"/>
          <w:bCs/>
          <w:szCs w:val="24"/>
          <w:lang w:eastAsia="en-GB"/>
        </w:rPr>
        <w:t>justiciable</w:t>
      </w:r>
      <w:proofErr w:type="spellEnd"/>
      <w:r>
        <w:rPr>
          <w:rFonts w:eastAsia="Times New Roman" w:cs="Arial"/>
          <w:bCs/>
          <w:szCs w:val="24"/>
          <w:lang w:eastAsia="en-GB"/>
        </w:rPr>
        <w:t xml:space="preserve"> </w:t>
      </w:r>
      <w:r w:rsidRPr="007E0BDB">
        <w:rPr>
          <w:rFonts w:eastAsia="Times New Roman" w:cs="Arial"/>
          <w:bCs/>
          <w:szCs w:val="24"/>
          <w:lang w:eastAsia="en-GB"/>
        </w:rPr>
        <w:t>choice as to from which of them the overpayment should actually be recovered falls</w:t>
      </w:r>
      <w:r>
        <w:rPr>
          <w:rFonts w:eastAsia="Times New Roman" w:cs="Arial"/>
          <w:bCs/>
          <w:szCs w:val="24"/>
          <w:lang w:eastAsia="en-GB"/>
        </w:rPr>
        <w:t xml:space="preserve"> </w:t>
      </w:r>
      <w:r w:rsidRPr="007E0BDB">
        <w:rPr>
          <w:rFonts w:eastAsia="Times New Roman" w:cs="Arial"/>
          <w:bCs/>
          <w:szCs w:val="24"/>
          <w:lang w:eastAsia="en-GB"/>
        </w:rPr>
        <w:t>to be made by the local authority at the stage of enforcing the right of recovery and</w:t>
      </w:r>
      <w:r>
        <w:rPr>
          <w:rFonts w:eastAsia="Times New Roman" w:cs="Arial"/>
          <w:bCs/>
          <w:szCs w:val="24"/>
          <w:lang w:eastAsia="en-GB"/>
        </w:rPr>
        <w:t xml:space="preserve"> </w:t>
      </w:r>
      <w:r w:rsidRPr="007E0BDB">
        <w:rPr>
          <w:rFonts w:eastAsia="Times New Roman" w:cs="Arial"/>
          <w:bCs/>
          <w:szCs w:val="24"/>
          <w:lang w:eastAsia="en-GB"/>
        </w:rPr>
        <w:t xml:space="preserve">so is not within the scope of the right of appeal. For all these reasons, we </w:t>
      </w:r>
      <w:proofErr w:type="gramStart"/>
      <w:r w:rsidRPr="007E0BDB">
        <w:rPr>
          <w:rFonts w:eastAsia="Times New Roman" w:cs="Arial"/>
          <w:bCs/>
          <w:szCs w:val="24"/>
          <w:lang w:eastAsia="en-GB"/>
        </w:rPr>
        <w:t xml:space="preserve">are </w:t>
      </w:r>
      <w:r>
        <w:rPr>
          <w:rFonts w:eastAsia="Times New Roman" w:cs="Arial"/>
          <w:bCs/>
          <w:szCs w:val="24"/>
          <w:lang w:eastAsia="en-GB"/>
        </w:rPr>
        <w:t xml:space="preserve"> s</w:t>
      </w:r>
      <w:r w:rsidRPr="007E0BDB">
        <w:rPr>
          <w:rFonts w:eastAsia="Times New Roman" w:cs="Arial"/>
          <w:bCs/>
          <w:szCs w:val="24"/>
          <w:lang w:eastAsia="en-GB"/>
        </w:rPr>
        <w:t>atisfied</w:t>
      </w:r>
      <w:proofErr w:type="gramEnd"/>
      <w:r>
        <w:rPr>
          <w:rFonts w:eastAsia="Times New Roman" w:cs="Arial"/>
          <w:bCs/>
          <w:szCs w:val="24"/>
          <w:lang w:eastAsia="en-GB"/>
        </w:rPr>
        <w:t xml:space="preserve"> </w:t>
      </w:r>
      <w:r w:rsidRPr="007E0BDB">
        <w:rPr>
          <w:rFonts w:eastAsia="Times New Roman" w:cs="Arial"/>
          <w:bCs/>
          <w:szCs w:val="24"/>
          <w:lang w:eastAsia="en-GB"/>
        </w:rPr>
        <w:t>that this is the correct construction of section 75(3)(b).</w:t>
      </w:r>
    </w:p>
    <w:p w:rsidR="00295929" w:rsidRPr="00295929" w:rsidRDefault="00304D1A" w:rsidP="00304D1A">
      <w:pPr>
        <w:jc w:val="center"/>
        <w:rPr>
          <w:rFonts w:cs="Arial"/>
          <w:b/>
          <w:sz w:val="36"/>
        </w:rPr>
      </w:pPr>
      <w:r w:rsidRPr="00295929">
        <w:rPr>
          <w:rFonts w:cs="Arial"/>
          <w:b/>
          <w:sz w:val="36"/>
        </w:rPr>
        <w:t xml:space="preserve"> </w:t>
      </w:r>
    </w:p>
    <w:p w:rsidR="00A34C88" w:rsidRPr="00A34C88" w:rsidRDefault="00A34C88" w:rsidP="00DD7A89">
      <w:pPr>
        <w:jc w:val="center"/>
        <w:rPr>
          <w:rFonts w:cs="Arial"/>
          <w:b/>
          <w:sz w:val="36"/>
        </w:rPr>
      </w:pPr>
    </w:p>
    <w:sectPr w:rsidR="00A34C88" w:rsidRPr="00A34C88" w:rsidSect="00CC19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DF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097D1E5C"/>
    <w:multiLevelType w:val="hybridMultilevel"/>
    <w:tmpl w:val="49F2534E"/>
    <w:lvl w:ilvl="0" w:tplc="C72EC8B6">
      <w:start w:val="1"/>
      <w:numFmt w:val="decimal"/>
      <w:lvlText w:val="%1."/>
      <w:lvlJc w:val="left"/>
      <w:pPr>
        <w:tabs>
          <w:tab w:val="num" w:pos="1080"/>
        </w:tabs>
        <w:ind w:left="1080" w:hanging="720"/>
      </w:pPr>
      <w:rPr>
        <w:rFonts w:hint="default"/>
      </w:rPr>
    </w:lvl>
    <w:lvl w:ilvl="1" w:tplc="7144A21C">
      <w:start w:val="1"/>
      <w:numFmt w:val="lowerLetter"/>
      <w:lvlText w:val="%2."/>
      <w:lvlJc w:val="left"/>
      <w:pPr>
        <w:tabs>
          <w:tab w:val="num" w:pos="1440"/>
        </w:tabs>
        <w:ind w:left="1440" w:hanging="360"/>
      </w:pPr>
      <w:rPr>
        <w:rFonts w:hint="default"/>
      </w:rPr>
    </w:lvl>
    <w:lvl w:ilvl="2" w:tplc="B9E4FC64">
      <w:start w:val="8"/>
      <w:numFmt w:val="decimal"/>
      <w:lvlText w:val="%3."/>
      <w:lvlJc w:val="left"/>
      <w:pPr>
        <w:tabs>
          <w:tab w:val="num" w:pos="2340"/>
        </w:tabs>
        <w:ind w:left="2340" w:hanging="360"/>
      </w:pPr>
      <w:rPr>
        <w:rFonts w:hint="default"/>
      </w:rPr>
    </w:lvl>
    <w:lvl w:ilvl="3" w:tplc="402E74F6">
      <w:start w:val="1"/>
      <w:numFmt w:val="lowerLetter"/>
      <w:lvlText w:val="%4"/>
      <w:lvlJc w:val="left"/>
      <w:pPr>
        <w:tabs>
          <w:tab w:val="num" w:pos="1494"/>
        </w:tabs>
        <w:ind w:left="1474" w:hanging="340"/>
      </w:pPr>
      <w:rPr>
        <w:rFonts w:hint="default"/>
      </w:rPr>
    </w:lvl>
    <w:lvl w:ilvl="4" w:tplc="60D09C3E">
      <w:start w:val="1"/>
      <w:numFmt w:val="lowerLetter"/>
      <w:lvlText w:val="%5."/>
      <w:lvlJc w:val="left"/>
      <w:pPr>
        <w:tabs>
          <w:tab w:val="num" w:pos="1494"/>
        </w:tabs>
        <w:ind w:left="1474" w:hanging="340"/>
      </w:pPr>
      <w:rPr>
        <w:rFonts w:hint="default"/>
      </w:rPr>
    </w:lvl>
    <w:lvl w:ilvl="5" w:tplc="1C2889C4">
      <w:start w:val="8"/>
      <w:numFmt w:val="decimal"/>
      <w:lvlText w:val="%6."/>
      <w:lvlJc w:val="left"/>
      <w:pPr>
        <w:tabs>
          <w:tab w:val="num" w:pos="1267"/>
        </w:tabs>
        <w:ind w:left="1134" w:hanging="227"/>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E01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B955AC"/>
    <w:multiLevelType w:val="hybridMultilevel"/>
    <w:tmpl w:val="C628A5DE"/>
    <w:lvl w:ilvl="0" w:tplc="8A403688">
      <w:start w:val="4"/>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925E7D"/>
    <w:multiLevelType w:val="hybridMultilevel"/>
    <w:tmpl w:val="68E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4C2C13"/>
    <w:multiLevelType w:val="multilevel"/>
    <w:tmpl w:val="A27AC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997229"/>
    <w:multiLevelType w:val="hybridMultilevel"/>
    <w:tmpl w:val="D5FA6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AF3E7F"/>
    <w:multiLevelType w:val="multilevel"/>
    <w:tmpl w:val="EC54E834"/>
    <w:lvl w:ilvl="0">
      <w:start w:val="1"/>
      <w:numFmt w:val="decimal"/>
      <w:pStyle w:val="Listed"/>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AE46BC3"/>
    <w:multiLevelType w:val="hybridMultilevel"/>
    <w:tmpl w:val="C50E3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461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6873FC"/>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nsid w:val="48565D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A26923"/>
    <w:multiLevelType w:val="hybridMultilevel"/>
    <w:tmpl w:val="7220A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E93277A"/>
    <w:multiLevelType w:val="multilevel"/>
    <w:tmpl w:val="2BB4E252"/>
    <w:lvl w:ilvl="0">
      <w:start w:val="1"/>
      <w:numFmt w:val="decimal"/>
      <w:lvlText w:val="%1"/>
      <w:legacy w:legacy="1" w:legacySpace="0" w:legacyIndent="360"/>
      <w:lvlJc w:val="left"/>
      <w:pPr>
        <w:ind w:left="360" w:hanging="360"/>
      </w:pPr>
      <w:rPr>
        <w:rFonts w:ascii="Times New Roman" w:hAnsi="Times New Roman" w:cs="Times New Roman" w:hint="default"/>
      </w:rPr>
    </w:lvl>
    <w:lvl w:ilvl="1">
      <w:start w:val="1"/>
      <w:numFmt w:val="decimal"/>
      <w:lvlText w:val="%1.%2"/>
      <w:legacy w:legacy="1" w:legacySpace="0" w:legacyIndent="360"/>
      <w:lvlJc w:val="left"/>
      <w:pPr>
        <w:ind w:left="720" w:hanging="360"/>
      </w:pPr>
      <w:rPr>
        <w:rFonts w:ascii="Times New Roman" w:hAnsi="Times New Roman" w:cs="Times New Roman" w:hint="default"/>
      </w:rPr>
    </w:lvl>
    <w:lvl w:ilvl="2">
      <w:start w:val="1"/>
      <w:numFmt w:val="decimal"/>
      <w:lvlText w:val="%1.%2.%3"/>
      <w:legacy w:legacy="1" w:legacySpace="0" w:legacyIndent="360"/>
      <w:lvlJc w:val="left"/>
      <w:pPr>
        <w:ind w:left="1080" w:hanging="360"/>
      </w:pPr>
      <w:rPr>
        <w:rFonts w:ascii="Times New Roman" w:hAnsi="Times New Roman" w:cs="Times New Roman" w:hint="default"/>
      </w:rPr>
    </w:lvl>
    <w:lvl w:ilvl="3">
      <w:start w:val="1"/>
      <w:numFmt w:val="decimal"/>
      <w:lvlText w:val="%1.%2.%3.%4"/>
      <w:legacy w:legacy="1" w:legacySpace="0" w:legacyIndent="360"/>
      <w:lvlJc w:val="left"/>
      <w:pPr>
        <w:ind w:left="1440" w:hanging="360"/>
      </w:pPr>
      <w:rPr>
        <w:rFonts w:ascii="Times New Roman" w:hAnsi="Times New Roman" w:cs="Times New Roman" w:hint="default"/>
      </w:rPr>
    </w:lvl>
    <w:lvl w:ilvl="4">
      <w:start w:val="1"/>
      <w:numFmt w:val="decimal"/>
      <w:lvlText w:val="%1.%2.%3.%4.%5"/>
      <w:legacy w:legacy="1" w:legacySpace="0" w:legacyIndent="360"/>
      <w:lvlJc w:val="left"/>
      <w:pPr>
        <w:ind w:left="1800" w:hanging="360"/>
      </w:pPr>
      <w:rPr>
        <w:rFonts w:ascii="Times New Roman" w:hAnsi="Times New Roman" w:cs="Times New Roman" w:hint="default"/>
      </w:rPr>
    </w:lvl>
    <w:lvl w:ilvl="5">
      <w:start w:val="1"/>
      <w:numFmt w:val="decimal"/>
      <w:lvlText w:val="%1.%2.%3.%4.%5.%6"/>
      <w:legacy w:legacy="1" w:legacySpace="0" w:legacyIndent="360"/>
      <w:lvlJc w:val="left"/>
      <w:pPr>
        <w:ind w:left="2160" w:hanging="360"/>
      </w:pPr>
      <w:rPr>
        <w:rFonts w:ascii="Times New Roman" w:hAnsi="Times New Roman" w:cs="Times New Roman" w:hint="default"/>
      </w:rPr>
    </w:lvl>
    <w:lvl w:ilvl="6">
      <w:start w:val="1"/>
      <w:numFmt w:val="decimal"/>
      <w:lvlText w:val="%1.%2.%3.%4.%5.%6.%7"/>
      <w:legacy w:legacy="1" w:legacySpace="0" w:legacyIndent="360"/>
      <w:lvlJc w:val="left"/>
      <w:pPr>
        <w:ind w:left="2520" w:hanging="360"/>
      </w:pPr>
      <w:rPr>
        <w:rFonts w:ascii="Times New Roman" w:hAnsi="Times New Roman" w:cs="Times New Roman" w:hint="default"/>
      </w:rPr>
    </w:lvl>
    <w:lvl w:ilvl="7">
      <w:start w:val="1"/>
      <w:numFmt w:val="decimal"/>
      <w:lvlText w:val="%1.%2.%3.%4.%5.%6.%7.%8"/>
      <w:legacy w:legacy="1" w:legacySpace="0" w:legacyIndent="360"/>
      <w:lvlJc w:val="left"/>
      <w:pPr>
        <w:ind w:left="2880" w:hanging="360"/>
      </w:pPr>
      <w:rPr>
        <w:rFonts w:ascii="Times New Roman" w:hAnsi="Times New Roman" w:cs="Times New Roman" w:hint="default"/>
      </w:rPr>
    </w:lvl>
    <w:lvl w:ilvl="8">
      <w:start w:val="1"/>
      <w:numFmt w:val="decimal"/>
      <w:lvlText w:val="%1.%2.%3.%4.%5.%6.%7.%8.%9"/>
      <w:legacy w:legacy="1" w:legacySpace="0" w:legacyIndent="360"/>
      <w:lvlJc w:val="left"/>
      <w:pPr>
        <w:ind w:left="3240" w:hanging="360"/>
      </w:pPr>
      <w:rPr>
        <w:rFonts w:ascii="Times New Roman" w:hAnsi="Times New Roman" w:cs="Times New Roman" w:hint="default"/>
      </w:rPr>
    </w:lvl>
  </w:abstractNum>
  <w:abstractNum w:abstractNumId="14">
    <w:nsid w:val="4FE83D4B"/>
    <w:multiLevelType w:val="hybridMultilevel"/>
    <w:tmpl w:val="4C3AB00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nsid w:val="53676E5A"/>
    <w:multiLevelType w:val="hybridMultilevel"/>
    <w:tmpl w:val="66F42F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57E94425"/>
    <w:multiLevelType w:val="hybridMultilevel"/>
    <w:tmpl w:val="DE38BA88"/>
    <w:lvl w:ilvl="0" w:tplc="E86048B0">
      <w:start w:val="16"/>
      <w:numFmt w:val="decimal"/>
      <w:lvlText w:val="%1."/>
      <w:lvlJc w:val="left"/>
      <w:pPr>
        <w:tabs>
          <w:tab w:val="num" w:pos="720"/>
        </w:tabs>
        <w:ind w:left="720" w:hanging="360"/>
      </w:pPr>
      <w:rPr>
        <w:rFonts w:hint="default"/>
      </w:rPr>
    </w:lvl>
    <w:lvl w:ilvl="1" w:tplc="9D7E64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FA5B50"/>
    <w:multiLevelType w:val="multilevel"/>
    <w:tmpl w:val="A27AC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9A7343"/>
    <w:multiLevelType w:val="hybridMultilevel"/>
    <w:tmpl w:val="53427514"/>
    <w:lvl w:ilvl="0" w:tplc="FFFFFFFF">
      <w:start w:val="1"/>
      <w:numFmt w:val="decimal"/>
      <w:pStyle w:val="Numbered"/>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3B54789"/>
    <w:multiLevelType w:val="hybridMultilevel"/>
    <w:tmpl w:val="081EE95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0">
    <w:nsid w:val="7A95782E"/>
    <w:multiLevelType w:val="hybridMultilevel"/>
    <w:tmpl w:val="85EC50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B4B35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3"/>
  </w:num>
  <w:num w:numId="3">
    <w:abstractNumId w:val="9"/>
  </w:num>
  <w:num w:numId="4">
    <w:abstractNumId w:val="11"/>
  </w:num>
  <w:num w:numId="5">
    <w:abstractNumId w:val="21"/>
  </w:num>
  <w:num w:numId="6">
    <w:abstractNumId w:val="8"/>
  </w:num>
  <w:num w:numId="7">
    <w:abstractNumId w:val="20"/>
  </w:num>
  <w:num w:numId="8">
    <w:abstractNumId w:val="12"/>
  </w:num>
  <w:num w:numId="9">
    <w:abstractNumId w:val="7"/>
  </w:num>
  <w:num w:numId="10">
    <w:abstractNumId w:val="18"/>
  </w:num>
  <w:num w:numId="11">
    <w:abstractNumId w:val="6"/>
  </w:num>
  <w:num w:numId="12">
    <w:abstractNumId w:val="0"/>
  </w:num>
  <w:num w:numId="13">
    <w:abstractNumId w:val="4"/>
  </w:num>
  <w:num w:numId="14">
    <w:abstractNumId w:val="10"/>
  </w:num>
  <w:num w:numId="15">
    <w:abstractNumId w:val="19"/>
  </w:num>
  <w:num w:numId="16">
    <w:abstractNumId w:val="17"/>
  </w:num>
  <w:num w:numId="17">
    <w:abstractNumId w:val="5"/>
  </w:num>
  <w:num w:numId="18">
    <w:abstractNumId w:val="1"/>
  </w:num>
  <w:num w:numId="19">
    <w:abstractNumId w:val="16"/>
  </w:num>
  <w:num w:numId="20">
    <w:abstractNumId w:val="3"/>
  </w:num>
  <w:num w:numId="21">
    <w:abstractNumId w:val="1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D1E"/>
    <w:rsid w:val="0002250A"/>
    <w:rsid w:val="00023A36"/>
    <w:rsid w:val="00024DE2"/>
    <w:rsid w:val="00032D1E"/>
    <w:rsid w:val="0003327B"/>
    <w:rsid w:val="00061F22"/>
    <w:rsid w:val="000A28C0"/>
    <w:rsid w:val="000A7479"/>
    <w:rsid w:val="000B3FAE"/>
    <w:rsid w:val="000D5CD8"/>
    <w:rsid w:val="000E093C"/>
    <w:rsid w:val="00101EF7"/>
    <w:rsid w:val="00104ABD"/>
    <w:rsid w:val="0011089A"/>
    <w:rsid w:val="0011695B"/>
    <w:rsid w:val="001825A0"/>
    <w:rsid w:val="001A4B77"/>
    <w:rsid w:val="001B129D"/>
    <w:rsid w:val="001D5111"/>
    <w:rsid w:val="00221399"/>
    <w:rsid w:val="002428B6"/>
    <w:rsid w:val="00252EE5"/>
    <w:rsid w:val="002603DC"/>
    <w:rsid w:val="00277584"/>
    <w:rsid w:val="0028187F"/>
    <w:rsid w:val="00282053"/>
    <w:rsid w:val="0028637C"/>
    <w:rsid w:val="00295929"/>
    <w:rsid w:val="00296BA4"/>
    <w:rsid w:val="002A407D"/>
    <w:rsid w:val="002A75AA"/>
    <w:rsid w:val="002E14D2"/>
    <w:rsid w:val="002E7A91"/>
    <w:rsid w:val="002F38B1"/>
    <w:rsid w:val="00304D1A"/>
    <w:rsid w:val="00337823"/>
    <w:rsid w:val="00375102"/>
    <w:rsid w:val="00376411"/>
    <w:rsid w:val="00380836"/>
    <w:rsid w:val="003B1DF9"/>
    <w:rsid w:val="00417BAC"/>
    <w:rsid w:val="004360CA"/>
    <w:rsid w:val="00453A29"/>
    <w:rsid w:val="0045714D"/>
    <w:rsid w:val="004577BA"/>
    <w:rsid w:val="00483439"/>
    <w:rsid w:val="004C6276"/>
    <w:rsid w:val="004F34F5"/>
    <w:rsid w:val="004F3F8F"/>
    <w:rsid w:val="00507CB1"/>
    <w:rsid w:val="005146D9"/>
    <w:rsid w:val="005A13B9"/>
    <w:rsid w:val="005A2224"/>
    <w:rsid w:val="005A671E"/>
    <w:rsid w:val="005B4BC1"/>
    <w:rsid w:val="005B4E9B"/>
    <w:rsid w:val="005B72D6"/>
    <w:rsid w:val="005D0895"/>
    <w:rsid w:val="005E1125"/>
    <w:rsid w:val="005E520B"/>
    <w:rsid w:val="005F2A53"/>
    <w:rsid w:val="00612C81"/>
    <w:rsid w:val="00644211"/>
    <w:rsid w:val="006A1A1C"/>
    <w:rsid w:val="006D66CC"/>
    <w:rsid w:val="006E65FC"/>
    <w:rsid w:val="006F6ACA"/>
    <w:rsid w:val="00705E5E"/>
    <w:rsid w:val="00707BF4"/>
    <w:rsid w:val="00713D9F"/>
    <w:rsid w:val="007248EF"/>
    <w:rsid w:val="00730694"/>
    <w:rsid w:val="00733B4B"/>
    <w:rsid w:val="0076093C"/>
    <w:rsid w:val="00776B24"/>
    <w:rsid w:val="007A19D8"/>
    <w:rsid w:val="007A6A7E"/>
    <w:rsid w:val="007C4CF3"/>
    <w:rsid w:val="007C5813"/>
    <w:rsid w:val="007D1BB8"/>
    <w:rsid w:val="007E0365"/>
    <w:rsid w:val="007E7EF9"/>
    <w:rsid w:val="007F62B8"/>
    <w:rsid w:val="00840573"/>
    <w:rsid w:val="008565B2"/>
    <w:rsid w:val="00862A3A"/>
    <w:rsid w:val="008D0C71"/>
    <w:rsid w:val="008F25D8"/>
    <w:rsid w:val="008F5493"/>
    <w:rsid w:val="00921B12"/>
    <w:rsid w:val="00966DF3"/>
    <w:rsid w:val="00990F20"/>
    <w:rsid w:val="009C36FC"/>
    <w:rsid w:val="009C6BF7"/>
    <w:rsid w:val="009E21AB"/>
    <w:rsid w:val="00A308BA"/>
    <w:rsid w:val="00A34C88"/>
    <w:rsid w:val="00A56E66"/>
    <w:rsid w:val="00A753E1"/>
    <w:rsid w:val="00AA57BE"/>
    <w:rsid w:val="00AC0D22"/>
    <w:rsid w:val="00B419F7"/>
    <w:rsid w:val="00B46641"/>
    <w:rsid w:val="00B5225A"/>
    <w:rsid w:val="00B5504E"/>
    <w:rsid w:val="00B855A3"/>
    <w:rsid w:val="00B9360A"/>
    <w:rsid w:val="00BE35D1"/>
    <w:rsid w:val="00C00AB4"/>
    <w:rsid w:val="00C052D5"/>
    <w:rsid w:val="00C06265"/>
    <w:rsid w:val="00C225CF"/>
    <w:rsid w:val="00C23FBC"/>
    <w:rsid w:val="00C401BF"/>
    <w:rsid w:val="00C61A68"/>
    <w:rsid w:val="00C757F0"/>
    <w:rsid w:val="00C87C9D"/>
    <w:rsid w:val="00C93D8F"/>
    <w:rsid w:val="00CB5FEA"/>
    <w:rsid w:val="00CC0E0A"/>
    <w:rsid w:val="00CC19B8"/>
    <w:rsid w:val="00CC5E45"/>
    <w:rsid w:val="00CC7E6C"/>
    <w:rsid w:val="00CD0782"/>
    <w:rsid w:val="00CD0C33"/>
    <w:rsid w:val="00CD2804"/>
    <w:rsid w:val="00D41A51"/>
    <w:rsid w:val="00D4227C"/>
    <w:rsid w:val="00D57E01"/>
    <w:rsid w:val="00D71404"/>
    <w:rsid w:val="00DA0562"/>
    <w:rsid w:val="00DA6589"/>
    <w:rsid w:val="00DD7A89"/>
    <w:rsid w:val="00DE3A21"/>
    <w:rsid w:val="00DF4651"/>
    <w:rsid w:val="00E13370"/>
    <w:rsid w:val="00E41CF4"/>
    <w:rsid w:val="00E5537F"/>
    <w:rsid w:val="00E64C4E"/>
    <w:rsid w:val="00E76D2D"/>
    <w:rsid w:val="00EA1C85"/>
    <w:rsid w:val="00EA7B12"/>
    <w:rsid w:val="00EC1B4B"/>
    <w:rsid w:val="00EE2DD4"/>
    <w:rsid w:val="00F03847"/>
    <w:rsid w:val="00F575B7"/>
    <w:rsid w:val="00F64B35"/>
    <w:rsid w:val="00F76A57"/>
    <w:rsid w:val="00F84F19"/>
    <w:rsid w:val="00FF40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5E"/>
    <w:rPr>
      <w:rFonts w:ascii="Arial" w:hAnsi="Arial"/>
      <w:sz w:val="24"/>
      <w:szCs w:val="22"/>
      <w:lang w:eastAsia="en-US"/>
    </w:rPr>
  </w:style>
  <w:style w:type="paragraph" w:styleId="Heading1">
    <w:name w:val="heading 1"/>
    <w:basedOn w:val="Normal"/>
    <w:next w:val="Normal"/>
    <w:link w:val="Heading1Char"/>
    <w:qFormat/>
    <w:rsid w:val="00730694"/>
    <w:pPr>
      <w:keepNext/>
      <w:outlineLvl w:val="0"/>
    </w:pPr>
    <w:rPr>
      <w:rFonts w:ascii="Times New Roman" w:eastAsia="Times New Roman" w:hAnsi="Times New Roman"/>
      <w:szCs w:val="20"/>
      <w:u w:val="single"/>
    </w:rPr>
  </w:style>
  <w:style w:type="paragraph" w:styleId="Heading2">
    <w:name w:val="heading 2"/>
    <w:basedOn w:val="Normal"/>
    <w:link w:val="Heading2Char"/>
    <w:qFormat/>
    <w:rsid w:val="00032D1E"/>
    <w:pPr>
      <w:keepNext/>
      <w:overflowPunct w:val="0"/>
      <w:autoSpaceDE w:val="0"/>
      <w:autoSpaceDN w:val="0"/>
      <w:adjustRightInd w:val="0"/>
      <w:textAlignment w:val="baseline"/>
      <w:outlineLvl w:val="1"/>
    </w:pPr>
    <w:rPr>
      <w:rFonts w:ascii="Tahoma" w:eastAsia="Times New Roman" w:hAnsi="Tahoma"/>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1E"/>
    <w:pPr>
      <w:ind w:left="720"/>
      <w:contextualSpacing/>
    </w:pPr>
  </w:style>
  <w:style w:type="character" w:customStyle="1" w:styleId="Heading2Char">
    <w:name w:val="Heading 2 Char"/>
    <w:basedOn w:val="DefaultParagraphFont"/>
    <w:link w:val="Heading2"/>
    <w:rsid w:val="00032D1E"/>
    <w:rPr>
      <w:rFonts w:ascii="Tahoma" w:eastAsia="Times New Roman" w:hAnsi="Tahoma" w:cs="Times New Roman"/>
      <w:b/>
      <w:szCs w:val="20"/>
      <w:lang w:eastAsia="en-GB"/>
    </w:rPr>
  </w:style>
  <w:style w:type="paragraph" w:customStyle="1" w:styleId="DefaultText">
    <w:name w:val="Default Text"/>
    <w:basedOn w:val="Normal"/>
    <w:rsid w:val="00032D1E"/>
    <w:pPr>
      <w:overflowPunct w:val="0"/>
      <w:autoSpaceDE w:val="0"/>
      <w:autoSpaceDN w:val="0"/>
      <w:adjustRightInd w:val="0"/>
      <w:textAlignment w:val="baseline"/>
    </w:pPr>
    <w:rPr>
      <w:rFonts w:ascii="Times New Roman" w:eastAsia="Times New Roman" w:hAnsi="Times New Roman"/>
      <w:szCs w:val="20"/>
      <w:lang w:val="en-US" w:eastAsia="en-GB"/>
    </w:rPr>
  </w:style>
  <w:style w:type="table" w:styleId="TableGrid">
    <w:name w:val="Table Grid"/>
    <w:basedOn w:val="TableNormal"/>
    <w:uiPriority w:val="59"/>
    <w:rsid w:val="00032D1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rsid w:val="00032D1E"/>
    <w:pPr>
      <w:overflowPunct w:val="0"/>
      <w:autoSpaceDE w:val="0"/>
      <w:autoSpaceDN w:val="0"/>
      <w:adjustRightInd w:val="0"/>
      <w:textAlignment w:val="baseline"/>
    </w:pPr>
    <w:rPr>
      <w:rFonts w:ascii="Tahoma" w:eastAsia="Times New Roman" w:hAnsi="Tahoma"/>
      <w:szCs w:val="20"/>
      <w:lang w:eastAsia="en-GB"/>
    </w:rPr>
  </w:style>
  <w:style w:type="character" w:customStyle="1" w:styleId="BodyTextChar">
    <w:name w:val="Body Text Char"/>
    <w:basedOn w:val="DefaultParagraphFont"/>
    <w:link w:val="BodyText"/>
    <w:semiHidden/>
    <w:rsid w:val="00032D1E"/>
    <w:rPr>
      <w:rFonts w:ascii="Tahoma" w:eastAsia="Times New Roman" w:hAnsi="Tahoma" w:cs="Times New Roman"/>
      <w:sz w:val="24"/>
      <w:szCs w:val="20"/>
      <w:lang w:eastAsia="en-GB"/>
    </w:rPr>
  </w:style>
  <w:style w:type="paragraph" w:customStyle="1" w:styleId="Titlebold">
    <w:name w:val="Title bold"/>
    <w:basedOn w:val="Normal"/>
    <w:rsid w:val="007A6A7E"/>
    <w:pPr>
      <w:keepNext/>
      <w:tabs>
        <w:tab w:val="left" w:pos="567"/>
        <w:tab w:val="left" w:pos="1134"/>
        <w:tab w:val="left" w:pos="1701"/>
        <w:tab w:val="left" w:pos="2268"/>
        <w:tab w:val="left" w:pos="2835"/>
      </w:tabs>
      <w:spacing w:after="280"/>
      <w:jc w:val="both"/>
    </w:pPr>
    <w:rPr>
      <w:rFonts w:ascii="Times New Roman" w:eastAsia="Times New Roman" w:hAnsi="Times New Roman"/>
      <w:b/>
      <w:szCs w:val="24"/>
    </w:rPr>
  </w:style>
  <w:style w:type="paragraph" w:customStyle="1" w:styleId="Numbered">
    <w:name w:val="Numbered"/>
    <w:basedOn w:val="Normal"/>
    <w:rsid w:val="007A6A7E"/>
    <w:pPr>
      <w:numPr>
        <w:numId w:val="10"/>
      </w:numPr>
      <w:tabs>
        <w:tab w:val="left" w:pos="1134"/>
        <w:tab w:val="left" w:pos="1701"/>
        <w:tab w:val="left" w:pos="2268"/>
        <w:tab w:val="left" w:pos="2835"/>
      </w:tabs>
      <w:spacing w:after="280"/>
      <w:jc w:val="both"/>
    </w:pPr>
    <w:rPr>
      <w:rFonts w:ascii="Times New Roman" w:eastAsia="Times New Roman" w:hAnsi="Times New Roman"/>
      <w:szCs w:val="24"/>
    </w:rPr>
  </w:style>
  <w:style w:type="paragraph" w:customStyle="1" w:styleId="Listed">
    <w:name w:val="Listed"/>
    <w:basedOn w:val="Normal"/>
    <w:rsid w:val="007A6A7E"/>
    <w:pPr>
      <w:numPr>
        <w:numId w:val="9"/>
      </w:numPr>
      <w:tabs>
        <w:tab w:val="clear" w:pos="360"/>
        <w:tab w:val="left" w:pos="567"/>
        <w:tab w:val="left" w:pos="1134"/>
        <w:tab w:val="left" w:pos="1701"/>
        <w:tab w:val="left" w:pos="2268"/>
      </w:tabs>
      <w:spacing w:after="280"/>
      <w:jc w:val="both"/>
    </w:pPr>
    <w:rPr>
      <w:rFonts w:ascii="Times New Roman" w:eastAsia="Times New Roman" w:hAnsi="Times New Roman"/>
      <w:szCs w:val="24"/>
    </w:rPr>
  </w:style>
  <w:style w:type="paragraph" w:styleId="BodyTextIndent">
    <w:name w:val="Body Text Indent"/>
    <w:basedOn w:val="Normal"/>
    <w:link w:val="BodyTextIndentChar"/>
    <w:unhideWhenUsed/>
    <w:rsid w:val="00A34C88"/>
    <w:pPr>
      <w:spacing w:after="120"/>
      <w:ind w:left="283"/>
    </w:pPr>
  </w:style>
  <w:style w:type="character" w:customStyle="1" w:styleId="BodyTextIndentChar">
    <w:name w:val="Body Text Indent Char"/>
    <w:basedOn w:val="DefaultParagraphFont"/>
    <w:link w:val="BodyTextIndent"/>
    <w:uiPriority w:val="99"/>
    <w:semiHidden/>
    <w:rsid w:val="00A34C88"/>
    <w:rPr>
      <w:rFonts w:ascii="Arial" w:hAnsi="Arial"/>
      <w:sz w:val="24"/>
      <w:szCs w:val="22"/>
      <w:lang w:eastAsia="en-US"/>
    </w:rPr>
  </w:style>
  <w:style w:type="paragraph" w:customStyle="1" w:styleId="Titleitalic">
    <w:name w:val="Title italic"/>
    <w:basedOn w:val="Normal"/>
    <w:rsid w:val="00A34C88"/>
    <w:pPr>
      <w:keepNext/>
      <w:tabs>
        <w:tab w:val="left" w:pos="567"/>
        <w:tab w:val="left" w:pos="1134"/>
        <w:tab w:val="left" w:pos="1701"/>
        <w:tab w:val="left" w:pos="2268"/>
        <w:tab w:val="left" w:pos="2835"/>
      </w:tabs>
      <w:spacing w:after="280"/>
      <w:jc w:val="both"/>
    </w:pPr>
    <w:rPr>
      <w:rFonts w:ascii="Times New Roman" w:eastAsia="Times New Roman" w:hAnsi="Times New Roman"/>
      <w:i/>
      <w:szCs w:val="24"/>
    </w:rPr>
  </w:style>
  <w:style w:type="character" w:customStyle="1" w:styleId="Heading1Char">
    <w:name w:val="Heading 1 Char"/>
    <w:basedOn w:val="DefaultParagraphFont"/>
    <w:link w:val="Heading1"/>
    <w:rsid w:val="00730694"/>
    <w:rPr>
      <w:rFonts w:ascii="Times New Roman" w:eastAsia="Times New Roman" w:hAnsi="Times New Roman"/>
      <w:sz w:val="24"/>
      <w:u w:val="single"/>
      <w:lang w:eastAsia="en-US"/>
    </w:rPr>
  </w:style>
  <w:style w:type="paragraph" w:styleId="Header">
    <w:name w:val="header"/>
    <w:basedOn w:val="Normal"/>
    <w:link w:val="HeaderChar"/>
    <w:rsid w:val="00730694"/>
    <w:pPr>
      <w:tabs>
        <w:tab w:val="center" w:pos="4153"/>
        <w:tab w:val="right" w:pos="8306"/>
      </w:tabs>
    </w:pPr>
    <w:rPr>
      <w:rFonts w:ascii="Times New Roman" w:eastAsia="Times New Roman" w:hAnsi="Times New Roman"/>
      <w:szCs w:val="20"/>
    </w:rPr>
  </w:style>
  <w:style w:type="character" w:customStyle="1" w:styleId="HeaderChar">
    <w:name w:val="Header Char"/>
    <w:basedOn w:val="DefaultParagraphFont"/>
    <w:link w:val="Header"/>
    <w:semiHidden/>
    <w:rsid w:val="00730694"/>
    <w:rPr>
      <w:rFonts w:ascii="Times New Roman" w:eastAsia="Times New Roman" w:hAnsi="Times New Roman"/>
      <w:sz w:val="24"/>
      <w:lang w:eastAsia="en-US"/>
    </w:rPr>
  </w:style>
  <w:style w:type="paragraph" w:styleId="BodyTextIndent2">
    <w:name w:val="Body Text Indent 2"/>
    <w:basedOn w:val="Normal"/>
    <w:link w:val="BodyTextIndent2Char"/>
    <w:semiHidden/>
    <w:rsid w:val="00295929"/>
    <w:pPr>
      <w:ind w:left="1440"/>
    </w:pPr>
    <w:rPr>
      <w:rFonts w:eastAsia="Times New Roman" w:cs="Arial"/>
      <w:szCs w:val="24"/>
    </w:rPr>
  </w:style>
  <w:style w:type="character" w:customStyle="1" w:styleId="BodyTextIndent2Char">
    <w:name w:val="Body Text Indent 2 Char"/>
    <w:basedOn w:val="DefaultParagraphFont"/>
    <w:link w:val="BodyTextIndent2"/>
    <w:semiHidden/>
    <w:rsid w:val="00295929"/>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472865753">
      <w:bodyDiv w:val="1"/>
      <w:marLeft w:val="0"/>
      <w:marRight w:val="0"/>
      <w:marTop w:val="0"/>
      <w:marBottom w:val="0"/>
      <w:divBdr>
        <w:top w:val="none" w:sz="0" w:space="0" w:color="auto"/>
        <w:left w:val="none" w:sz="0" w:space="0" w:color="auto"/>
        <w:bottom w:val="none" w:sz="0" w:space="0" w:color="auto"/>
        <w:right w:val="none" w:sz="0" w:space="0" w:color="auto"/>
      </w:divBdr>
    </w:div>
    <w:div w:id="880553142">
      <w:bodyDiv w:val="1"/>
      <w:marLeft w:val="0"/>
      <w:marRight w:val="0"/>
      <w:marTop w:val="0"/>
      <w:marBottom w:val="0"/>
      <w:divBdr>
        <w:top w:val="none" w:sz="0" w:space="0" w:color="auto"/>
        <w:left w:val="none" w:sz="0" w:space="0" w:color="auto"/>
        <w:bottom w:val="none" w:sz="0" w:space="0" w:color="auto"/>
        <w:right w:val="none" w:sz="0" w:space="0" w:color="auto"/>
      </w:divBdr>
    </w:div>
    <w:div w:id="1698461095">
      <w:bodyDiv w:val="1"/>
      <w:marLeft w:val="0"/>
      <w:marRight w:val="0"/>
      <w:marTop w:val="0"/>
      <w:marBottom w:val="0"/>
      <w:divBdr>
        <w:top w:val="none" w:sz="0" w:space="0" w:color="auto"/>
        <w:left w:val="none" w:sz="0" w:space="0" w:color="auto"/>
        <w:bottom w:val="none" w:sz="0" w:space="0" w:color="auto"/>
        <w:right w:val="none" w:sz="0" w:space="0" w:color="auto"/>
      </w:divBdr>
      <w:divsChild>
        <w:div w:id="1115059664">
          <w:marLeft w:val="0"/>
          <w:marRight w:val="0"/>
          <w:marTop w:val="0"/>
          <w:marBottom w:val="0"/>
          <w:divBdr>
            <w:top w:val="none" w:sz="0" w:space="0" w:color="auto"/>
            <w:left w:val="none" w:sz="0" w:space="0" w:color="auto"/>
            <w:bottom w:val="none" w:sz="0" w:space="0" w:color="auto"/>
            <w:right w:val="none" w:sz="0" w:space="0" w:color="auto"/>
          </w:divBdr>
          <w:divsChild>
            <w:div w:id="1421292723">
              <w:marLeft w:val="0"/>
              <w:marRight w:val="0"/>
              <w:marTop w:val="0"/>
              <w:marBottom w:val="0"/>
              <w:divBdr>
                <w:top w:val="none" w:sz="0" w:space="0" w:color="auto"/>
                <w:left w:val="none" w:sz="0" w:space="0" w:color="auto"/>
                <w:bottom w:val="none" w:sz="0" w:space="0" w:color="auto"/>
                <w:right w:val="none" w:sz="0" w:space="0" w:color="auto"/>
              </w:divBdr>
              <w:divsChild>
                <w:div w:id="1624311083">
                  <w:marLeft w:val="0"/>
                  <w:marRight w:val="-750"/>
                  <w:marTop w:val="0"/>
                  <w:marBottom w:val="0"/>
                  <w:divBdr>
                    <w:top w:val="none" w:sz="0" w:space="0" w:color="auto"/>
                    <w:left w:val="none" w:sz="0" w:space="0" w:color="auto"/>
                    <w:bottom w:val="none" w:sz="0" w:space="0" w:color="auto"/>
                    <w:right w:val="none" w:sz="0" w:space="0" w:color="auto"/>
                  </w:divBdr>
                  <w:divsChild>
                    <w:div w:id="1049182145">
                      <w:marLeft w:val="3750"/>
                      <w:marRight w:val="750"/>
                      <w:marTop w:val="0"/>
                      <w:marBottom w:val="0"/>
                      <w:divBdr>
                        <w:top w:val="none" w:sz="0" w:space="0" w:color="auto"/>
                        <w:left w:val="none" w:sz="0" w:space="0" w:color="auto"/>
                        <w:bottom w:val="none" w:sz="0" w:space="0" w:color="auto"/>
                        <w:right w:val="none" w:sz="0" w:space="0" w:color="auto"/>
                      </w:divBdr>
                      <w:divsChild>
                        <w:div w:id="3150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999A-19FF-49CA-9701-2066E4A2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Barker</dc:creator>
  <cp:lastModifiedBy>Peter Barker</cp:lastModifiedBy>
  <cp:revision>2</cp:revision>
  <cp:lastPrinted>2009-12-29T12:01:00Z</cp:lastPrinted>
  <dcterms:created xsi:type="dcterms:W3CDTF">2010-02-06T17:10:00Z</dcterms:created>
  <dcterms:modified xsi:type="dcterms:W3CDTF">2010-02-06T17:10:00Z</dcterms:modified>
</cp:coreProperties>
</file>